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43C9A">
      <w:pPr>
        <w:rPr>
          <w:sz w:val="36"/>
          <w:szCs w:val="44"/>
        </w:rPr>
      </w:pPr>
      <w:bookmarkStart w:id="0" w:name="_GoBack"/>
      <w:bookmarkEnd w:id="0"/>
      <w:r>
        <w:rPr>
          <w:rFonts w:hint="eastAsia"/>
          <w:sz w:val="36"/>
          <w:szCs w:val="44"/>
        </w:rPr>
        <w:t>附件1：             用户需求书</w:t>
      </w:r>
    </w:p>
    <w:p w14:paraId="6A8A5F5F">
      <w:r>
        <w:rPr>
          <w:b/>
        </w:rPr>
        <w:t>1.主要商务要求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549"/>
        <w:gridCol w:w="4973"/>
      </w:tblGrid>
      <w:tr w14:paraId="75E58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49" w:type="dxa"/>
          </w:tcPr>
          <w:p w14:paraId="3D6D57B9">
            <w:r>
              <w:t>标的提供的时间</w:t>
            </w:r>
          </w:p>
        </w:tc>
        <w:tc>
          <w:tcPr>
            <w:tcW w:w="4973" w:type="dxa"/>
          </w:tcPr>
          <w:p w14:paraId="74E9F16A">
            <w:r>
              <w:t>按需提供供货服务</w:t>
            </w:r>
          </w:p>
        </w:tc>
      </w:tr>
      <w:tr w14:paraId="64EAB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49" w:type="dxa"/>
          </w:tcPr>
          <w:p w14:paraId="64CC407D">
            <w:r>
              <w:t>标的提供的地点</w:t>
            </w:r>
          </w:p>
        </w:tc>
        <w:tc>
          <w:tcPr>
            <w:tcW w:w="4973" w:type="dxa"/>
          </w:tcPr>
          <w:p w14:paraId="4DE939DE">
            <w:r>
              <w:t>中山市黄圃人民医院指定地点</w:t>
            </w:r>
          </w:p>
        </w:tc>
      </w:tr>
      <w:tr w14:paraId="29986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49" w:type="dxa"/>
          </w:tcPr>
          <w:p w14:paraId="1187B13C">
            <w:r>
              <w:t>验收要求</w:t>
            </w:r>
          </w:p>
        </w:tc>
        <w:tc>
          <w:tcPr>
            <w:tcW w:w="4973" w:type="dxa"/>
          </w:tcPr>
          <w:p w14:paraId="58A501FB">
            <w:r>
              <w:t>1期：按批次，按行业标准、招标要求及</w:t>
            </w:r>
            <w:r>
              <w:rPr>
                <w:rFonts w:hint="eastAsia"/>
                <w:lang w:eastAsia="zh-CN"/>
              </w:rPr>
              <w:t>后续</w:t>
            </w:r>
            <w:r>
              <w:rPr>
                <w:highlight w:val="none"/>
              </w:rPr>
              <w:t>投标时提供的样品标准</w:t>
            </w:r>
            <w:r>
              <w:t>进行验收，并签订《验收确认单》等。</w:t>
            </w:r>
          </w:p>
        </w:tc>
      </w:tr>
      <w:tr w14:paraId="37E04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49" w:type="dxa"/>
          </w:tcPr>
          <w:p w14:paraId="360D6DCF">
            <w:pPr>
              <w:rPr>
                <w:rFonts w:hint="eastAsia" w:eastAsia="宋体"/>
                <w:lang w:eastAsia="zh-CN"/>
              </w:rPr>
            </w:pPr>
            <w:r>
              <w:rPr>
                <w:rFonts w:hint="eastAsia"/>
                <w:lang w:eastAsia="zh-CN"/>
              </w:rPr>
              <w:t>报价说明</w:t>
            </w:r>
          </w:p>
        </w:tc>
        <w:tc>
          <w:tcPr>
            <w:tcW w:w="4973" w:type="dxa"/>
          </w:tcPr>
          <w:p w14:paraId="3C5EB8A4">
            <w:pPr>
              <w:rPr>
                <w:rFonts w:hint="eastAsia" w:eastAsia="宋体"/>
                <w:lang w:eastAsia="zh-CN"/>
              </w:rPr>
            </w:pPr>
            <w:r>
              <w:rPr>
                <w:rFonts w:hint="eastAsia"/>
                <w:lang w:eastAsia="zh-CN"/>
              </w:rPr>
              <w:t>供应商</w:t>
            </w:r>
            <w:r>
              <w:rPr>
                <w:rFonts w:hint="eastAsia"/>
              </w:rPr>
              <w:t>的报价包括但不限于中药饮片的费用、包装、库运、配送运输、保险费、检验费、加工费、耗材费（包括但不限于药袋、打印标签等消耗品）、人工工资、售后服务、税费、其他伴随服务费用及合同实施过程中的一切可预见和不可预见费用。如发生缺漏项视同已包含在报价</w:t>
            </w:r>
            <w:r>
              <w:rPr>
                <w:rFonts w:hint="eastAsia"/>
                <w:lang w:eastAsia="zh-CN"/>
              </w:rPr>
              <w:t>中，采购人不再额外支付。</w:t>
            </w:r>
            <w:r>
              <w:rPr>
                <w:rFonts w:hint="eastAsia"/>
                <w:b/>
                <w:bCs/>
                <w:lang w:eastAsia="zh-CN"/>
              </w:rPr>
              <w:t>（须按附件</w:t>
            </w:r>
            <w:r>
              <w:rPr>
                <w:rFonts w:hint="eastAsia"/>
                <w:b/>
                <w:bCs/>
                <w:lang w:val="en-US" w:eastAsia="zh-CN"/>
              </w:rPr>
              <w:t>3：报价表格式填写</w:t>
            </w:r>
            <w:r>
              <w:rPr>
                <w:rFonts w:hint="eastAsia"/>
                <w:b/>
                <w:bCs/>
                <w:lang w:eastAsia="zh-CN"/>
              </w:rPr>
              <w:t>）</w:t>
            </w:r>
          </w:p>
        </w:tc>
      </w:tr>
      <w:tr w14:paraId="024C9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549" w:type="dxa"/>
          </w:tcPr>
          <w:p w14:paraId="09B972F1">
            <w:r>
              <w:t>其他</w:t>
            </w:r>
          </w:p>
        </w:tc>
        <w:tc>
          <w:tcPr>
            <w:tcW w:w="4973" w:type="dxa"/>
          </w:tcPr>
          <w:p w14:paraId="0669DFE8">
            <w:r>
              <w:t>其他，1、</w:t>
            </w:r>
            <w:r>
              <w:rPr>
                <w:rFonts w:hint="eastAsia"/>
                <w:lang w:eastAsia="zh-CN"/>
              </w:rPr>
              <w:t>供应商</w:t>
            </w:r>
            <w:r>
              <w:t>须列明采购人需要配合的条件；2、本项目供货期为</w:t>
            </w:r>
            <w:r>
              <w:rPr>
                <w:rFonts w:hint="eastAsia"/>
              </w:rPr>
              <w:t>1</w:t>
            </w:r>
            <w:r>
              <w:t>年（自合同</w:t>
            </w:r>
            <w:r>
              <w:rPr>
                <w:rFonts w:hint="eastAsia"/>
                <w:lang w:eastAsia="zh-CN"/>
              </w:rPr>
              <w:t>约定</w:t>
            </w:r>
            <w:r>
              <w:t>之日起计算，本项目非一次性供货项目，中标供应商应按照采购人的采购需求数量，做到分批分次不定时送货，最终采购数量以实际为准，采购人对最终采购数量及金额等均不作任何保证或承诺。供货期结束或采购累计金额达到本项目采购预算，合同终止（按先达到的为准））。合同执行期间如遇国家或上级部门重大政策调整影响，采购人和中标供应商均应遵守国家或上级部门的规定，在未违反招标原则及政策规定下双方协商签订补充协议或无条件终止合同并执行相关政策文件，双方均不负赔偿责任。</w:t>
            </w:r>
          </w:p>
        </w:tc>
      </w:tr>
    </w:tbl>
    <w:p w14:paraId="198619B3">
      <w:r>
        <w:rPr>
          <w:b/>
        </w:rPr>
        <w:t>2.技术标准与要求</w:t>
      </w:r>
    </w:p>
    <w:p w14:paraId="3DF25CAC">
      <w:r>
        <w:rPr>
          <w:b/>
        </w:rPr>
        <w:t>附表一：中药房中药饮片供应及代煎代送服务</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29F35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F7482CC">
            <w:r>
              <w:t>参数性质</w:t>
            </w:r>
          </w:p>
        </w:tc>
        <w:tc>
          <w:tcPr>
            <w:tcW w:w="426" w:type="dxa"/>
          </w:tcPr>
          <w:p w14:paraId="688E1511">
            <w:r>
              <w:t>序号</w:t>
            </w:r>
          </w:p>
        </w:tc>
        <w:tc>
          <w:tcPr>
            <w:tcW w:w="5814" w:type="dxa"/>
          </w:tcPr>
          <w:p w14:paraId="444A6ACE">
            <w:r>
              <w:t>具体技术(参数)要求</w:t>
            </w:r>
          </w:p>
        </w:tc>
      </w:tr>
      <w:tr w14:paraId="1A62D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74D7BD1"/>
        </w:tc>
        <w:tc>
          <w:tcPr>
            <w:tcW w:w="426" w:type="dxa"/>
          </w:tcPr>
          <w:p w14:paraId="69C2D020">
            <w:pPr>
              <w:rPr>
                <w:rFonts w:hint="eastAsia" w:eastAsia="宋体"/>
                <w:lang w:eastAsia="zh-CN"/>
              </w:rPr>
            </w:pPr>
            <w:r>
              <w:rPr>
                <w:rFonts w:hint="eastAsia"/>
                <w:lang w:val="en-US" w:eastAsia="zh-CN"/>
              </w:rPr>
              <w:t>1</w:t>
            </w:r>
          </w:p>
        </w:tc>
        <w:tc>
          <w:tcPr>
            <w:tcW w:w="5814" w:type="dxa"/>
          </w:tcPr>
          <w:p w14:paraId="33A57349">
            <w:r>
              <w:rPr>
                <w:sz w:val="24"/>
              </w:rPr>
              <w:t>一、项目基本要求</w:t>
            </w:r>
          </w:p>
          <w:p w14:paraId="516F3E49">
            <w:r>
              <w:rPr>
                <w:sz w:val="24"/>
              </w:rPr>
              <w:t>（一）中药饮片供应服务</w:t>
            </w:r>
          </w:p>
          <w:p w14:paraId="163D7B28">
            <w:pPr>
              <w:rPr>
                <w:b/>
                <w:bCs/>
              </w:rPr>
            </w:pPr>
            <w:r>
              <w:rPr>
                <w:sz w:val="24"/>
              </w:rPr>
              <w:t>1、供应范围：根据采购人中药房中药饮片的使用情况及未来业务发展情况确定招标目录，</w:t>
            </w:r>
            <w:r>
              <w:rPr>
                <w:b/>
                <w:bCs/>
                <w:sz w:val="24"/>
              </w:rPr>
              <w:t>详见“附件</w:t>
            </w:r>
            <w:r>
              <w:rPr>
                <w:rFonts w:hint="eastAsia"/>
                <w:b/>
                <w:bCs/>
                <w:sz w:val="24"/>
                <w:lang w:val="en-US" w:eastAsia="zh-CN"/>
              </w:rPr>
              <w:t>3</w:t>
            </w:r>
            <w:r>
              <w:rPr>
                <w:b/>
                <w:bCs/>
                <w:sz w:val="24"/>
              </w:rPr>
              <w:t>：</w:t>
            </w:r>
            <w:r>
              <w:rPr>
                <w:rFonts w:hint="eastAsia"/>
                <w:b/>
                <w:bCs/>
                <w:sz w:val="24"/>
                <w:lang w:eastAsia="zh-CN"/>
              </w:rPr>
              <w:t>报价表</w:t>
            </w:r>
            <w:r>
              <w:rPr>
                <w:b/>
                <w:bCs/>
                <w:sz w:val="24"/>
              </w:rPr>
              <w:t>”</w:t>
            </w:r>
            <w:r>
              <w:rPr>
                <w:rFonts w:hint="eastAsia"/>
                <w:b/>
                <w:bCs/>
                <w:sz w:val="24"/>
                <w:lang w:eastAsia="zh-CN"/>
              </w:rPr>
              <w:t>中“一、中药饮片供应服务”目录</w:t>
            </w:r>
            <w:r>
              <w:rPr>
                <w:b/>
                <w:bCs/>
                <w:sz w:val="24"/>
              </w:rPr>
              <w:t>。</w:t>
            </w:r>
          </w:p>
          <w:p w14:paraId="39084EA5">
            <w:r>
              <w:rPr>
                <w:sz w:val="24"/>
              </w:rPr>
              <w:t>备注：</w:t>
            </w:r>
          </w:p>
          <w:p w14:paraId="67F3CE59">
            <w:r>
              <w:rPr>
                <w:sz w:val="24"/>
              </w:rPr>
              <w:t>（1）</w:t>
            </w:r>
            <w:r>
              <w:rPr>
                <w:rFonts w:hint="eastAsia"/>
                <w:sz w:val="24"/>
                <w:lang w:eastAsia="zh-CN"/>
              </w:rPr>
              <w:t>供应商</w:t>
            </w:r>
            <w:r>
              <w:rPr>
                <w:sz w:val="24"/>
              </w:rPr>
              <w:t>须最大程度满足采购人“其它未列明临时采购品种”的供应，可在</w:t>
            </w:r>
            <w:r>
              <w:rPr>
                <w:rFonts w:hint="eastAsia"/>
                <w:sz w:val="24"/>
                <w:lang w:eastAsia="zh-CN"/>
              </w:rPr>
              <w:t>响应文件</w:t>
            </w:r>
            <w:r>
              <w:rPr>
                <w:sz w:val="24"/>
              </w:rPr>
              <w:t>中列明“其它未列明临时采购品种”的供应能力，需列明品种名称、供应标准、产地等。（须出具“其它未列明临时采购品种”供应能力承诺书）</w:t>
            </w:r>
          </w:p>
          <w:p w14:paraId="4B85A551">
            <w:r>
              <w:rPr>
                <w:sz w:val="24"/>
              </w:rPr>
              <w:t>2、交货地点：中山市黄圃人民医院指定地点；</w:t>
            </w:r>
          </w:p>
          <w:p w14:paraId="6CAD40AD">
            <w:r>
              <w:rPr>
                <w:sz w:val="24"/>
              </w:rPr>
              <w:t>3、中标供应商承包及负责招标文件对要求的一切事宜及责任，包括货物、运输、保管及相关服务等；</w:t>
            </w:r>
          </w:p>
          <w:p w14:paraId="0AC13BDE">
            <w:r>
              <w:rPr>
                <w:sz w:val="24"/>
              </w:rPr>
              <w:t>4、本项目中标供应商仅为供货资格的取得，并不代表实际货物的售出，采购人不保证中标供应商实际的供货数量及金额；供货品种数将根据实际使用情况增减。</w:t>
            </w:r>
          </w:p>
          <w:p w14:paraId="272E5C3D">
            <w:r>
              <w:rPr>
                <w:rFonts w:hint="eastAsia"/>
                <w:b/>
                <w:sz w:val="24"/>
              </w:rPr>
              <w:t>5</w:t>
            </w:r>
            <w:r>
              <w:rPr>
                <w:b/>
                <w:sz w:val="24"/>
              </w:rPr>
              <w:t>、响应供应毒性中药及其炮制品的，供应商或生产厂家须具备相应资质（即中药饮片生产企业须符合生产毒性中药饮片的资质要求，中药饮片经营企业须符合经营毒性中药饮片的资质要求）。</w:t>
            </w:r>
          </w:p>
          <w:p w14:paraId="33B42B9B">
            <w:r>
              <w:rPr>
                <w:b/>
                <w:sz w:val="24"/>
              </w:rPr>
              <w:t>（二）中药代煎、调配、配送服务</w:t>
            </w:r>
          </w:p>
          <w:p w14:paraId="54FEB8D2">
            <w:r>
              <w:rPr>
                <w:sz w:val="24"/>
              </w:rPr>
              <w:t>1、中标供应商须为医院提供中药代煎、膏方制作、中药其他临配剂型制作（包括但不限于丸、散、灌装胶囊等）服务。</w:t>
            </w:r>
          </w:p>
          <w:p w14:paraId="63E05038">
            <w:pPr>
              <w:jc w:val="center"/>
            </w:pPr>
            <w:r>
              <w:rPr>
                <w:sz w:val="24"/>
              </w:rPr>
              <w:t>可收费服务价格清单</w:t>
            </w:r>
          </w:p>
          <w:tbl>
            <w:tblPr>
              <w:tblStyle w:val="8"/>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6"/>
              <w:gridCol w:w="1196"/>
              <w:gridCol w:w="1469"/>
              <w:gridCol w:w="1075"/>
              <w:gridCol w:w="1247"/>
            </w:tblGrid>
            <w:tr w14:paraId="0B944D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single" w:color="000000" w:sz="4" w:space="0"/>
                    <w:left w:val="single" w:color="000000" w:sz="4" w:space="0"/>
                    <w:bottom w:val="single" w:color="000000" w:sz="4" w:space="0"/>
                    <w:right w:val="single" w:color="000000" w:sz="4" w:space="0"/>
                  </w:tcBorders>
                </w:tcPr>
                <w:p w14:paraId="0993A286">
                  <w:pPr>
                    <w:jc w:val="center"/>
                  </w:pPr>
                  <w:r>
                    <w:t>序号</w:t>
                  </w:r>
                </w:p>
              </w:tc>
              <w:tc>
                <w:tcPr>
                  <w:tcW w:w="1221" w:type="dxa"/>
                  <w:tcBorders>
                    <w:top w:val="single" w:color="000000" w:sz="4" w:space="0"/>
                    <w:left w:val="nil"/>
                    <w:bottom w:val="single" w:color="000000" w:sz="4" w:space="0"/>
                    <w:right w:val="single" w:color="000000" w:sz="4" w:space="0"/>
                  </w:tcBorders>
                </w:tcPr>
                <w:p w14:paraId="22A9338C">
                  <w:pPr>
                    <w:jc w:val="center"/>
                  </w:pPr>
                  <w:r>
                    <w:t>项目名称</w:t>
                  </w:r>
                </w:p>
              </w:tc>
              <w:tc>
                <w:tcPr>
                  <w:tcW w:w="1497" w:type="dxa"/>
                  <w:tcBorders>
                    <w:top w:val="single" w:color="000000" w:sz="4" w:space="0"/>
                    <w:left w:val="nil"/>
                    <w:bottom w:val="single" w:color="000000" w:sz="4" w:space="0"/>
                    <w:right w:val="single" w:color="000000" w:sz="4" w:space="0"/>
                  </w:tcBorders>
                </w:tcPr>
                <w:p w14:paraId="0D020474">
                  <w:pPr>
                    <w:jc w:val="center"/>
                  </w:pPr>
                  <w:r>
                    <w:t>基本医疗服务价格(元)</w:t>
                  </w:r>
                </w:p>
              </w:tc>
              <w:tc>
                <w:tcPr>
                  <w:tcW w:w="1083" w:type="dxa"/>
                  <w:tcBorders>
                    <w:top w:val="single" w:color="000000" w:sz="4" w:space="0"/>
                    <w:left w:val="nil"/>
                    <w:bottom w:val="single" w:color="000000" w:sz="4" w:space="0"/>
                    <w:right w:val="single" w:color="000000" w:sz="4" w:space="0"/>
                  </w:tcBorders>
                </w:tcPr>
                <w:p w14:paraId="3F7DF565">
                  <w:pPr>
                    <w:jc w:val="center"/>
                  </w:pPr>
                  <w:r>
                    <w:t>最高限价（元）</w:t>
                  </w:r>
                </w:p>
              </w:tc>
              <w:tc>
                <w:tcPr>
                  <w:tcW w:w="1274" w:type="dxa"/>
                  <w:tcBorders>
                    <w:top w:val="single" w:color="000000" w:sz="4" w:space="0"/>
                    <w:left w:val="nil"/>
                    <w:bottom w:val="single" w:color="000000" w:sz="4" w:space="0"/>
                    <w:right w:val="single" w:color="000000" w:sz="4" w:space="0"/>
                  </w:tcBorders>
                </w:tcPr>
                <w:p w14:paraId="56DDCF3F">
                  <w:pPr>
                    <w:jc w:val="center"/>
                  </w:pPr>
                  <w:r>
                    <w:t>单位</w:t>
                  </w:r>
                </w:p>
              </w:tc>
            </w:tr>
            <w:tr w14:paraId="3AE9B0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64B0F718">
                  <w:pPr>
                    <w:jc w:val="center"/>
                  </w:pPr>
                  <w:r>
                    <w:rPr>
                      <w:sz w:val="24"/>
                    </w:rPr>
                    <w:t>1</w:t>
                  </w:r>
                </w:p>
              </w:tc>
              <w:tc>
                <w:tcPr>
                  <w:tcW w:w="1221" w:type="dxa"/>
                  <w:tcBorders>
                    <w:top w:val="nil"/>
                    <w:left w:val="nil"/>
                    <w:bottom w:val="single" w:color="000000" w:sz="4" w:space="0"/>
                    <w:right w:val="single" w:color="000000" w:sz="4" w:space="0"/>
                  </w:tcBorders>
                </w:tcPr>
                <w:p w14:paraId="2DF3D700">
                  <w:pPr>
                    <w:jc w:val="center"/>
                  </w:pPr>
                  <w:r>
                    <w:rPr>
                      <w:sz w:val="24"/>
                    </w:rPr>
                    <w:t>煎药机煎药</w:t>
                  </w:r>
                </w:p>
              </w:tc>
              <w:tc>
                <w:tcPr>
                  <w:tcW w:w="1497" w:type="dxa"/>
                  <w:tcBorders>
                    <w:top w:val="nil"/>
                    <w:left w:val="nil"/>
                    <w:bottom w:val="single" w:color="000000" w:sz="4" w:space="0"/>
                    <w:right w:val="single" w:color="000000" w:sz="4" w:space="0"/>
                  </w:tcBorders>
                </w:tcPr>
                <w:p w14:paraId="6DEF6F36">
                  <w:pPr>
                    <w:jc w:val="center"/>
                  </w:pPr>
                  <w:r>
                    <w:rPr>
                      <w:sz w:val="24"/>
                    </w:rPr>
                    <w:t>2.5</w:t>
                  </w:r>
                </w:p>
              </w:tc>
              <w:tc>
                <w:tcPr>
                  <w:tcW w:w="1083" w:type="dxa"/>
                  <w:tcBorders>
                    <w:top w:val="nil"/>
                    <w:left w:val="nil"/>
                    <w:bottom w:val="single" w:color="000000" w:sz="4" w:space="0"/>
                    <w:right w:val="single" w:color="000000" w:sz="4" w:space="0"/>
                  </w:tcBorders>
                </w:tcPr>
                <w:p w14:paraId="72A884D3">
                  <w:pPr>
                    <w:jc w:val="center"/>
                  </w:pPr>
                  <w:r>
                    <w:rPr>
                      <w:sz w:val="24"/>
                    </w:rPr>
                    <w:t>2.5</w:t>
                  </w:r>
                </w:p>
              </w:tc>
              <w:tc>
                <w:tcPr>
                  <w:tcW w:w="1274" w:type="dxa"/>
                  <w:tcBorders>
                    <w:top w:val="nil"/>
                    <w:left w:val="nil"/>
                    <w:bottom w:val="single" w:color="000000" w:sz="4" w:space="0"/>
                    <w:right w:val="single" w:color="000000" w:sz="4" w:space="0"/>
                  </w:tcBorders>
                </w:tcPr>
                <w:p w14:paraId="0E38FCDF">
                  <w:pPr>
                    <w:jc w:val="center"/>
                  </w:pPr>
                  <w:r>
                    <w:rPr>
                      <w:sz w:val="24"/>
                    </w:rPr>
                    <w:t>剂</w:t>
                  </w:r>
                </w:p>
              </w:tc>
            </w:tr>
            <w:tr w14:paraId="250F2D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53AF4391">
                  <w:pPr>
                    <w:jc w:val="center"/>
                  </w:pPr>
                  <w:r>
                    <w:rPr>
                      <w:sz w:val="24"/>
                    </w:rPr>
                    <w:t>2</w:t>
                  </w:r>
                </w:p>
              </w:tc>
              <w:tc>
                <w:tcPr>
                  <w:tcW w:w="1221" w:type="dxa"/>
                  <w:tcBorders>
                    <w:top w:val="nil"/>
                    <w:left w:val="nil"/>
                    <w:bottom w:val="single" w:color="000000" w:sz="4" w:space="0"/>
                    <w:right w:val="single" w:color="000000" w:sz="4" w:space="0"/>
                  </w:tcBorders>
                </w:tcPr>
                <w:p w14:paraId="74819DD5">
                  <w:pPr>
                    <w:jc w:val="center"/>
                  </w:pPr>
                  <w:r>
                    <w:rPr>
                      <w:sz w:val="24"/>
                    </w:rPr>
                    <w:t>煎膏调配</w:t>
                  </w:r>
                </w:p>
              </w:tc>
              <w:tc>
                <w:tcPr>
                  <w:tcW w:w="1497" w:type="dxa"/>
                  <w:tcBorders>
                    <w:top w:val="nil"/>
                    <w:left w:val="nil"/>
                    <w:bottom w:val="single" w:color="000000" w:sz="4" w:space="0"/>
                    <w:right w:val="single" w:color="000000" w:sz="4" w:space="0"/>
                  </w:tcBorders>
                </w:tcPr>
                <w:p w14:paraId="6DBEE5D6">
                  <w:pPr>
                    <w:jc w:val="center"/>
                  </w:pPr>
                  <w:r>
                    <w:rPr>
                      <w:sz w:val="24"/>
                    </w:rPr>
                    <w:t>32</w:t>
                  </w:r>
                </w:p>
              </w:tc>
              <w:tc>
                <w:tcPr>
                  <w:tcW w:w="1083" w:type="dxa"/>
                  <w:tcBorders>
                    <w:top w:val="nil"/>
                    <w:left w:val="nil"/>
                    <w:bottom w:val="single" w:color="000000" w:sz="4" w:space="0"/>
                    <w:right w:val="single" w:color="000000" w:sz="4" w:space="0"/>
                  </w:tcBorders>
                </w:tcPr>
                <w:p w14:paraId="03673244">
                  <w:pPr>
                    <w:jc w:val="center"/>
                  </w:pPr>
                  <w:r>
                    <w:rPr>
                      <w:sz w:val="24"/>
                    </w:rPr>
                    <w:t>32</w:t>
                  </w:r>
                </w:p>
              </w:tc>
              <w:tc>
                <w:tcPr>
                  <w:tcW w:w="1274" w:type="dxa"/>
                  <w:tcBorders>
                    <w:top w:val="nil"/>
                    <w:left w:val="nil"/>
                    <w:bottom w:val="single" w:color="000000" w:sz="4" w:space="0"/>
                    <w:right w:val="single" w:color="000000" w:sz="4" w:space="0"/>
                  </w:tcBorders>
                </w:tcPr>
                <w:p w14:paraId="15826519">
                  <w:pPr>
                    <w:jc w:val="center"/>
                  </w:pPr>
                  <w:r>
                    <w:rPr>
                      <w:sz w:val="24"/>
                    </w:rPr>
                    <w:t>剂</w:t>
                  </w:r>
                </w:p>
              </w:tc>
            </w:tr>
            <w:tr w14:paraId="2E3AF5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603AE0F7">
                  <w:pPr>
                    <w:jc w:val="center"/>
                  </w:pPr>
                  <w:r>
                    <w:rPr>
                      <w:sz w:val="24"/>
                    </w:rPr>
                    <w:t>3</w:t>
                  </w:r>
                </w:p>
              </w:tc>
              <w:tc>
                <w:tcPr>
                  <w:tcW w:w="1221" w:type="dxa"/>
                  <w:tcBorders>
                    <w:top w:val="nil"/>
                    <w:left w:val="nil"/>
                    <w:bottom w:val="single" w:color="000000" w:sz="4" w:space="0"/>
                    <w:right w:val="single" w:color="000000" w:sz="4" w:space="0"/>
                  </w:tcBorders>
                </w:tcPr>
                <w:p w14:paraId="578A9334">
                  <w:pPr>
                    <w:jc w:val="center"/>
                  </w:pPr>
                  <w:r>
                    <w:rPr>
                      <w:sz w:val="24"/>
                    </w:rPr>
                    <w:t>合剂调配</w:t>
                  </w:r>
                </w:p>
              </w:tc>
              <w:tc>
                <w:tcPr>
                  <w:tcW w:w="1497" w:type="dxa"/>
                  <w:tcBorders>
                    <w:top w:val="nil"/>
                    <w:left w:val="nil"/>
                    <w:bottom w:val="single" w:color="000000" w:sz="4" w:space="0"/>
                    <w:right w:val="single" w:color="000000" w:sz="4" w:space="0"/>
                  </w:tcBorders>
                </w:tcPr>
                <w:p w14:paraId="6DFC8AED">
                  <w:pPr>
                    <w:jc w:val="center"/>
                  </w:pPr>
                  <w:r>
                    <w:rPr>
                      <w:sz w:val="24"/>
                    </w:rPr>
                    <w:t>16</w:t>
                  </w:r>
                </w:p>
              </w:tc>
              <w:tc>
                <w:tcPr>
                  <w:tcW w:w="1083" w:type="dxa"/>
                  <w:tcBorders>
                    <w:top w:val="nil"/>
                    <w:left w:val="nil"/>
                    <w:bottom w:val="single" w:color="000000" w:sz="4" w:space="0"/>
                    <w:right w:val="single" w:color="000000" w:sz="4" w:space="0"/>
                  </w:tcBorders>
                </w:tcPr>
                <w:p w14:paraId="07751E91">
                  <w:pPr>
                    <w:jc w:val="center"/>
                  </w:pPr>
                  <w:r>
                    <w:rPr>
                      <w:sz w:val="24"/>
                    </w:rPr>
                    <w:t>16</w:t>
                  </w:r>
                </w:p>
              </w:tc>
              <w:tc>
                <w:tcPr>
                  <w:tcW w:w="1274" w:type="dxa"/>
                  <w:tcBorders>
                    <w:top w:val="nil"/>
                    <w:left w:val="nil"/>
                    <w:bottom w:val="single" w:color="000000" w:sz="4" w:space="0"/>
                    <w:right w:val="single" w:color="000000" w:sz="4" w:space="0"/>
                  </w:tcBorders>
                </w:tcPr>
                <w:p w14:paraId="08E536F9">
                  <w:pPr>
                    <w:jc w:val="center"/>
                  </w:pPr>
                  <w:r>
                    <w:rPr>
                      <w:sz w:val="24"/>
                    </w:rPr>
                    <w:t>百克</w:t>
                  </w:r>
                </w:p>
              </w:tc>
            </w:tr>
            <w:tr w14:paraId="599D4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6E951E5A">
                  <w:pPr>
                    <w:jc w:val="center"/>
                  </w:pPr>
                  <w:r>
                    <w:rPr>
                      <w:sz w:val="24"/>
                    </w:rPr>
                    <w:t>4</w:t>
                  </w:r>
                </w:p>
              </w:tc>
              <w:tc>
                <w:tcPr>
                  <w:tcW w:w="1221" w:type="dxa"/>
                  <w:tcBorders>
                    <w:top w:val="nil"/>
                    <w:left w:val="nil"/>
                    <w:bottom w:val="single" w:color="000000" w:sz="4" w:space="0"/>
                    <w:right w:val="single" w:color="000000" w:sz="4" w:space="0"/>
                  </w:tcBorders>
                </w:tcPr>
                <w:p w14:paraId="55C951DD">
                  <w:pPr>
                    <w:jc w:val="center"/>
                  </w:pPr>
                  <w:r>
                    <w:rPr>
                      <w:sz w:val="24"/>
                    </w:rPr>
                    <w:t>胶囊剂调配</w:t>
                  </w:r>
                </w:p>
              </w:tc>
              <w:tc>
                <w:tcPr>
                  <w:tcW w:w="1497" w:type="dxa"/>
                  <w:tcBorders>
                    <w:top w:val="nil"/>
                    <w:left w:val="nil"/>
                    <w:bottom w:val="single" w:color="000000" w:sz="4" w:space="0"/>
                    <w:right w:val="single" w:color="000000" w:sz="4" w:space="0"/>
                  </w:tcBorders>
                </w:tcPr>
                <w:p w14:paraId="0CB5C952">
                  <w:pPr>
                    <w:jc w:val="center"/>
                  </w:pPr>
                  <w:r>
                    <w:rPr>
                      <w:sz w:val="24"/>
                    </w:rPr>
                    <w:t>29</w:t>
                  </w:r>
                </w:p>
              </w:tc>
              <w:tc>
                <w:tcPr>
                  <w:tcW w:w="1083" w:type="dxa"/>
                  <w:tcBorders>
                    <w:top w:val="nil"/>
                    <w:left w:val="nil"/>
                    <w:bottom w:val="single" w:color="000000" w:sz="4" w:space="0"/>
                    <w:right w:val="single" w:color="000000" w:sz="4" w:space="0"/>
                  </w:tcBorders>
                </w:tcPr>
                <w:p w14:paraId="3980CCD6">
                  <w:pPr>
                    <w:jc w:val="center"/>
                  </w:pPr>
                  <w:r>
                    <w:rPr>
                      <w:sz w:val="24"/>
                    </w:rPr>
                    <w:t>29</w:t>
                  </w:r>
                </w:p>
              </w:tc>
              <w:tc>
                <w:tcPr>
                  <w:tcW w:w="1274" w:type="dxa"/>
                  <w:tcBorders>
                    <w:top w:val="nil"/>
                    <w:left w:val="nil"/>
                    <w:bottom w:val="single" w:color="000000" w:sz="4" w:space="0"/>
                    <w:right w:val="single" w:color="000000" w:sz="4" w:space="0"/>
                  </w:tcBorders>
                </w:tcPr>
                <w:p w14:paraId="73E26C93">
                  <w:pPr>
                    <w:jc w:val="center"/>
                  </w:pPr>
                  <w:r>
                    <w:rPr>
                      <w:sz w:val="24"/>
                    </w:rPr>
                    <w:t>百克</w:t>
                  </w:r>
                </w:p>
              </w:tc>
            </w:tr>
            <w:tr w14:paraId="5F31BB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09FA934A">
                  <w:pPr>
                    <w:jc w:val="center"/>
                  </w:pPr>
                  <w:r>
                    <w:rPr>
                      <w:sz w:val="24"/>
                    </w:rPr>
                    <w:t>5</w:t>
                  </w:r>
                </w:p>
              </w:tc>
              <w:tc>
                <w:tcPr>
                  <w:tcW w:w="1221" w:type="dxa"/>
                  <w:tcBorders>
                    <w:top w:val="nil"/>
                    <w:left w:val="nil"/>
                    <w:bottom w:val="single" w:color="000000" w:sz="4" w:space="0"/>
                    <w:right w:val="single" w:color="000000" w:sz="4" w:space="0"/>
                  </w:tcBorders>
                </w:tcPr>
                <w:p w14:paraId="6813E9D2">
                  <w:pPr>
                    <w:jc w:val="center"/>
                  </w:pPr>
                  <w:r>
                    <w:rPr>
                      <w:sz w:val="24"/>
                    </w:rPr>
                    <w:t>蜜丸调配</w:t>
                  </w:r>
                </w:p>
              </w:tc>
              <w:tc>
                <w:tcPr>
                  <w:tcW w:w="1497" w:type="dxa"/>
                  <w:tcBorders>
                    <w:top w:val="nil"/>
                    <w:left w:val="nil"/>
                    <w:bottom w:val="single" w:color="000000" w:sz="4" w:space="0"/>
                    <w:right w:val="single" w:color="000000" w:sz="4" w:space="0"/>
                  </w:tcBorders>
                </w:tcPr>
                <w:p w14:paraId="44DC709B">
                  <w:pPr>
                    <w:jc w:val="center"/>
                  </w:pPr>
                  <w:r>
                    <w:rPr>
                      <w:sz w:val="24"/>
                    </w:rPr>
                    <w:t>27</w:t>
                  </w:r>
                </w:p>
              </w:tc>
              <w:tc>
                <w:tcPr>
                  <w:tcW w:w="1083" w:type="dxa"/>
                  <w:tcBorders>
                    <w:top w:val="nil"/>
                    <w:left w:val="nil"/>
                    <w:bottom w:val="single" w:color="000000" w:sz="4" w:space="0"/>
                    <w:right w:val="single" w:color="000000" w:sz="4" w:space="0"/>
                  </w:tcBorders>
                </w:tcPr>
                <w:p w14:paraId="3CF9952D">
                  <w:pPr>
                    <w:jc w:val="center"/>
                  </w:pPr>
                  <w:r>
                    <w:rPr>
                      <w:sz w:val="24"/>
                    </w:rPr>
                    <w:t>27</w:t>
                  </w:r>
                </w:p>
              </w:tc>
              <w:tc>
                <w:tcPr>
                  <w:tcW w:w="1274" w:type="dxa"/>
                  <w:tcBorders>
                    <w:top w:val="nil"/>
                    <w:left w:val="nil"/>
                    <w:bottom w:val="single" w:color="000000" w:sz="4" w:space="0"/>
                    <w:right w:val="single" w:color="000000" w:sz="4" w:space="0"/>
                  </w:tcBorders>
                </w:tcPr>
                <w:p w14:paraId="08E37404">
                  <w:pPr>
                    <w:jc w:val="center"/>
                  </w:pPr>
                  <w:r>
                    <w:rPr>
                      <w:sz w:val="24"/>
                    </w:rPr>
                    <w:t>百克</w:t>
                  </w:r>
                </w:p>
              </w:tc>
            </w:tr>
            <w:tr w14:paraId="7A3456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113554CB">
                  <w:pPr>
                    <w:jc w:val="center"/>
                  </w:pPr>
                  <w:r>
                    <w:rPr>
                      <w:sz w:val="24"/>
                    </w:rPr>
                    <w:t>6</w:t>
                  </w:r>
                </w:p>
              </w:tc>
              <w:tc>
                <w:tcPr>
                  <w:tcW w:w="1221" w:type="dxa"/>
                  <w:tcBorders>
                    <w:top w:val="nil"/>
                    <w:left w:val="nil"/>
                    <w:bottom w:val="single" w:color="000000" w:sz="4" w:space="0"/>
                    <w:right w:val="single" w:color="000000" w:sz="4" w:space="0"/>
                  </w:tcBorders>
                </w:tcPr>
                <w:p w14:paraId="7E7589DF">
                  <w:pPr>
                    <w:jc w:val="center"/>
                  </w:pPr>
                  <w:r>
                    <w:rPr>
                      <w:sz w:val="24"/>
                    </w:rPr>
                    <w:t>水蜜丸调配</w:t>
                  </w:r>
                </w:p>
              </w:tc>
              <w:tc>
                <w:tcPr>
                  <w:tcW w:w="1497" w:type="dxa"/>
                  <w:tcBorders>
                    <w:top w:val="nil"/>
                    <w:left w:val="nil"/>
                    <w:bottom w:val="single" w:color="000000" w:sz="4" w:space="0"/>
                    <w:right w:val="single" w:color="000000" w:sz="4" w:space="0"/>
                  </w:tcBorders>
                </w:tcPr>
                <w:p w14:paraId="4BEBC056">
                  <w:pPr>
                    <w:jc w:val="center"/>
                  </w:pPr>
                  <w:r>
                    <w:rPr>
                      <w:sz w:val="24"/>
                    </w:rPr>
                    <w:t>25</w:t>
                  </w:r>
                </w:p>
              </w:tc>
              <w:tc>
                <w:tcPr>
                  <w:tcW w:w="1083" w:type="dxa"/>
                  <w:tcBorders>
                    <w:top w:val="nil"/>
                    <w:left w:val="nil"/>
                    <w:bottom w:val="single" w:color="000000" w:sz="4" w:space="0"/>
                    <w:right w:val="single" w:color="000000" w:sz="4" w:space="0"/>
                  </w:tcBorders>
                </w:tcPr>
                <w:p w14:paraId="7031478E">
                  <w:pPr>
                    <w:jc w:val="center"/>
                  </w:pPr>
                  <w:r>
                    <w:rPr>
                      <w:sz w:val="24"/>
                    </w:rPr>
                    <w:t>25</w:t>
                  </w:r>
                </w:p>
              </w:tc>
              <w:tc>
                <w:tcPr>
                  <w:tcW w:w="1274" w:type="dxa"/>
                  <w:tcBorders>
                    <w:top w:val="nil"/>
                    <w:left w:val="nil"/>
                    <w:bottom w:val="single" w:color="000000" w:sz="4" w:space="0"/>
                    <w:right w:val="single" w:color="000000" w:sz="4" w:space="0"/>
                  </w:tcBorders>
                </w:tcPr>
                <w:p w14:paraId="0A7BE464">
                  <w:pPr>
                    <w:jc w:val="center"/>
                  </w:pPr>
                  <w:r>
                    <w:rPr>
                      <w:sz w:val="24"/>
                    </w:rPr>
                    <w:t>百克</w:t>
                  </w:r>
                </w:p>
              </w:tc>
            </w:tr>
            <w:tr w14:paraId="10720D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5343893C">
                  <w:pPr>
                    <w:jc w:val="center"/>
                  </w:pPr>
                  <w:r>
                    <w:rPr>
                      <w:sz w:val="24"/>
                    </w:rPr>
                    <w:t>7</w:t>
                  </w:r>
                </w:p>
              </w:tc>
              <w:tc>
                <w:tcPr>
                  <w:tcW w:w="1221" w:type="dxa"/>
                  <w:tcBorders>
                    <w:top w:val="nil"/>
                    <w:left w:val="nil"/>
                    <w:bottom w:val="single" w:color="000000" w:sz="4" w:space="0"/>
                    <w:right w:val="single" w:color="000000" w:sz="4" w:space="0"/>
                  </w:tcBorders>
                </w:tcPr>
                <w:p w14:paraId="5EC870B3">
                  <w:pPr>
                    <w:jc w:val="center"/>
                  </w:pPr>
                  <w:r>
                    <w:rPr>
                      <w:sz w:val="24"/>
                    </w:rPr>
                    <w:t>水丸调配</w:t>
                  </w:r>
                </w:p>
              </w:tc>
              <w:tc>
                <w:tcPr>
                  <w:tcW w:w="1497" w:type="dxa"/>
                  <w:tcBorders>
                    <w:top w:val="nil"/>
                    <w:left w:val="nil"/>
                    <w:bottom w:val="single" w:color="000000" w:sz="4" w:space="0"/>
                    <w:right w:val="single" w:color="000000" w:sz="4" w:space="0"/>
                  </w:tcBorders>
                </w:tcPr>
                <w:p w14:paraId="760E3B64">
                  <w:pPr>
                    <w:jc w:val="center"/>
                  </w:pPr>
                  <w:r>
                    <w:rPr>
                      <w:sz w:val="24"/>
                    </w:rPr>
                    <w:t>27.5</w:t>
                  </w:r>
                </w:p>
              </w:tc>
              <w:tc>
                <w:tcPr>
                  <w:tcW w:w="1083" w:type="dxa"/>
                  <w:tcBorders>
                    <w:top w:val="nil"/>
                    <w:left w:val="nil"/>
                    <w:bottom w:val="single" w:color="000000" w:sz="4" w:space="0"/>
                    <w:right w:val="single" w:color="000000" w:sz="4" w:space="0"/>
                  </w:tcBorders>
                </w:tcPr>
                <w:p w14:paraId="4DB594CE">
                  <w:pPr>
                    <w:jc w:val="center"/>
                  </w:pPr>
                  <w:r>
                    <w:rPr>
                      <w:sz w:val="24"/>
                    </w:rPr>
                    <w:t>27.5</w:t>
                  </w:r>
                </w:p>
              </w:tc>
              <w:tc>
                <w:tcPr>
                  <w:tcW w:w="1274" w:type="dxa"/>
                  <w:tcBorders>
                    <w:top w:val="nil"/>
                    <w:left w:val="nil"/>
                    <w:bottom w:val="single" w:color="000000" w:sz="4" w:space="0"/>
                    <w:right w:val="single" w:color="000000" w:sz="4" w:space="0"/>
                  </w:tcBorders>
                </w:tcPr>
                <w:p w14:paraId="07B8053E">
                  <w:pPr>
                    <w:jc w:val="center"/>
                  </w:pPr>
                  <w:r>
                    <w:rPr>
                      <w:sz w:val="24"/>
                    </w:rPr>
                    <w:t>百克</w:t>
                  </w:r>
                </w:p>
              </w:tc>
            </w:tr>
            <w:tr w14:paraId="2413F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8" w:type="dxa"/>
                  <w:tcBorders>
                    <w:top w:val="nil"/>
                    <w:left w:val="single" w:color="000000" w:sz="4" w:space="0"/>
                    <w:bottom w:val="single" w:color="000000" w:sz="4" w:space="0"/>
                    <w:right w:val="single" w:color="000000" w:sz="4" w:space="0"/>
                  </w:tcBorders>
                </w:tcPr>
                <w:p w14:paraId="7BB0F7E1">
                  <w:pPr>
                    <w:jc w:val="center"/>
                  </w:pPr>
                  <w:r>
                    <w:rPr>
                      <w:sz w:val="24"/>
                    </w:rPr>
                    <w:t>8</w:t>
                  </w:r>
                </w:p>
              </w:tc>
              <w:tc>
                <w:tcPr>
                  <w:tcW w:w="1221" w:type="dxa"/>
                  <w:tcBorders>
                    <w:top w:val="nil"/>
                    <w:left w:val="nil"/>
                    <w:bottom w:val="single" w:color="000000" w:sz="4" w:space="0"/>
                    <w:right w:val="single" w:color="000000" w:sz="4" w:space="0"/>
                  </w:tcBorders>
                </w:tcPr>
                <w:p w14:paraId="25082E58">
                  <w:pPr>
                    <w:jc w:val="center"/>
                  </w:pPr>
                  <w:r>
                    <w:rPr>
                      <w:sz w:val="24"/>
                    </w:rPr>
                    <w:t>散剂调配</w:t>
                  </w:r>
                </w:p>
              </w:tc>
              <w:tc>
                <w:tcPr>
                  <w:tcW w:w="1497" w:type="dxa"/>
                  <w:tcBorders>
                    <w:top w:val="nil"/>
                    <w:left w:val="nil"/>
                    <w:bottom w:val="single" w:color="000000" w:sz="4" w:space="0"/>
                    <w:right w:val="single" w:color="000000" w:sz="4" w:space="0"/>
                  </w:tcBorders>
                </w:tcPr>
                <w:p w14:paraId="6DEFBBDF">
                  <w:pPr>
                    <w:jc w:val="center"/>
                  </w:pPr>
                  <w:r>
                    <w:rPr>
                      <w:sz w:val="24"/>
                    </w:rPr>
                    <w:t>27.5</w:t>
                  </w:r>
                </w:p>
              </w:tc>
              <w:tc>
                <w:tcPr>
                  <w:tcW w:w="1083" w:type="dxa"/>
                  <w:tcBorders>
                    <w:top w:val="nil"/>
                    <w:left w:val="nil"/>
                    <w:bottom w:val="single" w:color="000000" w:sz="4" w:space="0"/>
                    <w:right w:val="single" w:color="000000" w:sz="4" w:space="0"/>
                  </w:tcBorders>
                </w:tcPr>
                <w:p w14:paraId="3B556764">
                  <w:pPr>
                    <w:jc w:val="center"/>
                  </w:pPr>
                  <w:r>
                    <w:rPr>
                      <w:sz w:val="24"/>
                    </w:rPr>
                    <w:t>27.5</w:t>
                  </w:r>
                </w:p>
              </w:tc>
              <w:tc>
                <w:tcPr>
                  <w:tcW w:w="1274" w:type="dxa"/>
                  <w:tcBorders>
                    <w:top w:val="nil"/>
                    <w:left w:val="nil"/>
                    <w:bottom w:val="single" w:color="000000" w:sz="4" w:space="0"/>
                    <w:right w:val="single" w:color="000000" w:sz="4" w:space="0"/>
                  </w:tcBorders>
                </w:tcPr>
                <w:p w14:paraId="152FD153">
                  <w:pPr>
                    <w:jc w:val="center"/>
                  </w:pPr>
                  <w:r>
                    <w:rPr>
                      <w:sz w:val="24"/>
                    </w:rPr>
                    <w:t>百克</w:t>
                  </w:r>
                </w:p>
              </w:tc>
            </w:tr>
          </w:tbl>
          <w:p w14:paraId="764BADD9">
            <w:r>
              <w:rPr>
                <w:sz w:val="24"/>
              </w:rPr>
              <w:t>注：</w:t>
            </w:r>
          </w:p>
          <w:p w14:paraId="13E4FE2C">
            <w:r>
              <w:rPr>
                <w:sz w:val="24"/>
              </w:rPr>
              <w:t>（1）供应商须对所提供的代煎、调配服务按不高于以上目录列明的“最高限价（元）”作出相应报价，其中“基本医疗服务价格(元)”与《中山市公立医疗机构服务价格项目汇总表(2021)版》（如该文件有更新，以新版为准）相关规定一致，“最高限价（元）”随“基本医疗服务价格(元)”变化而变化；如“基本医疗服务价格(元)”有变化，则“中标企业中药代煎、膏方制作、中药其他临配剂型制作（包括但不限于丸、散、灌装胶囊等）服务”价格=中标企业各医疗服务报价/本次招标时“基本医疗服务价格(元)”*变化后“基本医疗服务价格(元)”</w:t>
            </w:r>
          </w:p>
          <w:p w14:paraId="4DE18D70">
            <w:r>
              <w:rPr>
                <w:sz w:val="24"/>
              </w:rPr>
              <w:t>（2）供应商代煎、调配服务报价不得高于“最高限价（元）”；</w:t>
            </w:r>
          </w:p>
          <w:p w14:paraId="61079394">
            <w:r>
              <w:rPr>
                <w:sz w:val="24"/>
              </w:rPr>
              <w:t>（3）《中山市公立医疗机构服务价格项目汇总表》（最新版）获取方式：①http://hsa.zs.gov.cn/，登陆步骤：网站首页—政务公开&gt;政策文件&gt;资料下载；②与采购人联系；</w:t>
            </w:r>
          </w:p>
          <w:p w14:paraId="728FF4FD">
            <w:r>
              <w:rPr>
                <w:sz w:val="24"/>
              </w:rPr>
              <w:t>（4）</w:t>
            </w:r>
            <w:r>
              <w:rPr>
                <w:rFonts w:hint="eastAsia"/>
                <w:sz w:val="24"/>
                <w:lang w:eastAsia="zh-CN"/>
              </w:rPr>
              <w:t>供应商</w:t>
            </w:r>
            <w:r>
              <w:rPr>
                <w:sz w:val="24"/>
              </w:rPr>
              <w:t>需对《可收费服务价格清单》逐一报价。</w:t>
            </w:r>
            <w:r>
              <w:rPr>
                <w:rFonts w:hint="eastAsia"/>
                <w:b/>
                <w:bCs/>
                <w:sz w:val="24"/>
                <w:lang w:eastAsia="zh-CN"/>
              </w:rPr>
              <w:t>格式</w:t>
            </w:r>
            <w:r>
              <w:rPr>
                <w:b/>
                <w:bCs/>
                <w:sz w:val="24"/>
              </w:rPr>
              <w:t>详见“附件</w:t>
            </w:r>
            <w:r>
              <w:rPr>
                <w:rFonts w:hint="eastAsia"/>
                <w:b/>
                <w:bCs/>
                <w:sz w:val="24"/>
                <w:lang w:val="en-US" w:eastAsia="zh-CN"/>
              </w:rPr>
              <w:t>3</w:t>
            </w:r>
            <w:r>
              <w:rPr>
                <w:b/>
                <w:bCs/>
                <w:sz w:val="24"/>
              </w:rPr>
              <w:t>：</w:t>
            </w:r>
            <w:r>
              <w:rPr>
                <w:rFonts w:hint="eastAsia"/>
                <w:b/>
                <w:bCs/>
                <w:sz w:val="24"/>
                <w:lang w:eastAsia="zh-CN"/>
              </w:rPr>
              <w:t>报价表</w:t>
            </w:r>
            <w:r>
              <w:rPr>
                <w:b/>
                <w:bCs/>
                <w:sz w:val="24"/>
              </w:rPr>
              <w:t>”</w:t>
            </w:r>
            <w:r>
              <w:rPr>
                <w:rFonts w:hint="eastAsia"/>
                <w:b/>
                <w:bCs/>
                <w:sz w:val="24"/>
                <w:lang w:eastAsia="zh-CN"/>
              </w:rPr>
              <w:t>中“二、中药代煎、调配、配送服务”。</w:t>
            </w:r>
          </w:p>
          <w:p w14:paraId="2A0629A5">
            <w:r>
              <w:rPr>
                <w:sz w:val="24"/>
              </w:rPr>
              <w:t>2、中药配剂（代煎）中心，设计、管理、运营应符合国家相关法律法规要求，具备完善的信息对接系统，完善的审方系统、监控系统、物流查询系统等，生产车间须符合相关规定。中心的设备购置、信息系统配置、人员配备等由服务商负责。</w:t>
            </w:r>
          </w:p>
          <w:p w14:paraId="0FC08679">
            <w:r>
              <w:rPr>
                <w:sz w:val="24"/>
              </w:rPr>
              <w:t>3、服务商所提供的中药配剂（代煎）中心到采购人办公地址的驾车距离须在1.5小时内。</w:t>
            </w:r>
          </w:p>
          <w:p w14:paraId="113A0B9D">
            <w:r>
              <w:rPr>
                <w:sz w:val="24"/>
              </w:rPr>
              <w:t>4、中药配剂（代煎）中心至少配备处方收发室、中药饮片调配室、饮片浸泡室、煎药室、膏方制作室、包装室、仓库等。并配备有完善的信息管理系统，利用先进的信息技术手段，保障中药配剂（代煎）中心业务运作顺畅。</w:t>
            </w:r>
          </w:p>
          <w:p w14:paraId="11807DD6">
            <w:r>
              <w:rPr>
                <w:sz w:val="24"/>
              </w:rPr>
              <w:t>5、中药配剂（代煎）中心的主要独立功能区、室：</w:t>
            </w:r>
          </w:p>
          <w:p w14:paraId="64D3B066">
            <w:r>
              <w:rPr>
                <w:sz w:val="24"/>
              </w:rPr>
              <w:t>(1)处方收发室：配备可对接采购人信息管理平台的信息系统，接收医院处方并对每张处方进行二次审核，系统审方后再进入人工审方，处方经过多重审核校验后向煎药室、膏方制作室发送。如处方审核过程中出现错误，可将处方通过信息管理系统返回至采购人处，由采购人再次核实修改。处方收发室的工作人员可向患者提供咨询服务。</w:t>
            </w:r>
          </w:p>
          <w:p w14:paraId="33297CEF">
            <w:r>
              <w:rPr>
                <w:sz w:val="24"/>
              </w:rPr>
              <w:t>(2)中药饮片调配室：根据处方对中药饮片进行调配。</w:t>
            </w:r>
          </w:p>
          <w:p w14:paraId="0DE86814">
            <w:r>
              <w:rPr>
                <w:sz w:val="24"/>
              </w:rPr>
              <w:t>(3)饮片浸泡室：根据处方对中药饮片进行浸泡。</w:t>
            </w:r>
          </w:p>
          <w:p w14:paraId="33EBB451">
            <w:r>
              <w:rPr>
                <w:sz w:val="24"/>
              </w:rPr>
              <w:t>(4)煎药室：根据处方对浸泡好的中药饮片进行煎煮。</w:t>
            </w:r>
          </w:p>
          <w:p w14:paraId="28B444A1">
            <w:r>
              <w:rPr>
                <w:sz w:val="24"/>
              </w:rPr>
              <w:t>(5)膏方制作室：根据处方对调剂好的中药饮片进行浸泡、煎煮、浓缩、收膏，制作好的膏方进行摊凉、分装、包装、贮存；膏方制作室内应单独设立浸泡间、煎煮间、浓缩间、收膏间、摊凉间、分装间、包装间等功能室。</w:t>
            </w:r>
          </w:p>
          <w:p w14:paraId="11D53647">
            <w:r>
              <w:rPr>
                <w:sz w:val="24"/>
              </w:rPr>
              <w:t>(6)包装室：对代配饮片、代煎中药、膏方等进行包装。</w:t>
            </w:r>
          </w:p>
          <w:p w14:paraId="0AAC0041">
            <w:r>
              <w:rPr>
                <w:sz w:val="24"/>
              </w:rPr>
              <w:t>(7)仓库：主要用于储存中药饮片。</w:t>
            </w:r>
          </w:p>
          <w:p w14:paraId="6FBEB0F8">
            <w:r>
              <w:rPr>
                <w:sz w:val="24"/>
              </w:rPr>
              <w:t>6、中药配剂（代煎）中心设备配置</w:t>
            </w:r>
          </w:p>
          <w:p w14:paraId="7945D820">
            <w:r>
              <w:rPr>
                <w:sz w:val="24"/>
              </w:rPr>
              <w:t>(1)根据采购人每天的处方量，煎药室配备煎药机、包装机等设备，设备配置要满足采购人的现有业务及发展需求。</w:t>
            </w:r>
          </w:p>
          <w:p w14:paraId="1E38680F">
            <w:r>
              <w:rPr>
                <w:sz w:val="24"/>
              </w:rPr>
              <w:t>(2)单独设置的膏方制作室需配备煎药机，夹层锅，紫铜锅等设备，设备配置要满足采购人的现有业务及发展需求。</w:t>
            </w:r>
          </w:p>
          <w:p w14:paraId="704F5B00">
            <w:r>
              <w:rPr>
                <w:sz w:val="24"/>
              </w:rPr>
              <w:t>(3)临方加工炮制室配备相应的加工设备，设备配置要满足采购人的现有业务及发展需求。</w:t>
            </w:r>
          </w:p>
          <w:p w14:paraId="63F6DC76">
            <w:r>
              <w:rPr>
                <w:sz w:val="24"/>
              </w:rPr>
              <w:t>(4)所有独立的功能区室应根据实际情况配备办公家具、办公用品、药柜、不锈钢制品(含所有静置桶、不锈钢手推车、不锈钢浸泡桶、所有不锈钢货架、不锈钢药桶、不锈钢清洗池、不锈钢洗手池等)、小包装中药饮片专属调配药盘等。</w:t>
            </w:r>
          </w:p>
          <w:p w14:paraId="4A83E198">
            <w:r>
              <w:rPr>
                <w:sz w:val="24"/>
              </w:rPr>
              <w:t>7、中药配剂（代煎）中心须具备完善的质量管理体系，具有保证中药饮片调剂及代煎配送质量相关管理制度、流程和规范，具有规范的操作记录，符合医院及相关管理要求。</w:t>
            </w:r>
          </w:p>
          <w:p w14:paraId="4BF24653">
            <w:r>
              <w:rPr>
                <w:sz w:val="24"/>
              </w:rPr>
              <w:t>8、服务期内，中药配剂（代煎）中心的所有日常经营管理费用，包括但不限于中药饮片养护成本、水、电、燃气费用、人工费用、包装材料、配送费、维修维护费用、员工培训费用和其他管理费用等由服务商负责。</w:t>
            </w:r>
          </w:p>
          <w:p w14:paraId="146D4FF3">
            <w:r>
              <w:rPr>
                <w:sz w:val="24"/>
              </w:rPr>
              <w:t>9、日常工作要求</w:t>
            </w:r>
          </w:p>
          <w:p w14:paraId="63E6FA89">
            <w:r>
              <w:rPr>
                <w:sz w:val="24"/>
              </w:rPr>
              <w:t>9.1中药饮片代煎</w:t>
            </w:r>
          </w:p>
          <w:p w14:paraId="258E0FD7">
            <w:r>
              <w:rPr>
                <w:sz w:val="24"/>
              </w:rPr>
              <w:t>（1）服务商具有保证煎药质量的各种煎药设备，满足中药煎煮要求。</w:t>
            </w:r>
          </w:p>
          <w:p w14:paraId="00A49B94">
            <w:r>
              <w:rPr>
                <w:sz w:val="24"/>
              </w:rPr>
              <w:t>（2）中药配剂（代煎）中心的信息管理系统接收到从采购人处传送的处方后，进入处方审核环节(包括系统初审与人工复审)。如出现审核不通过的异常处方，由系统返回采购人处进行处理；审核通过的处方经调配复核、浸泡、煎煮、包装等，最后由专车配送到医院或由物流公司收件分拣，按时配送到患者家中。</w:t>
            </w:r>
          </w:p>
          <w:p w14:paraId="56BB86B1">
            <w:r>
              <w:rPr>
                <w:sz w:val="24"/>
              </w:rPr>
              <w:t>9.2中药饮片调配</w:t>
            </w:r>
          </w:p>
          <w:p w14:paraId="2E5B4FC4">
            <w:r>
              <w:rPr>
                <w:sz w:val="24"/>
              </w:rPr>
              <w:t>（1）中药饮片调配工作应遵守《处方管理办法》《药品管理法》《中药处方与调剂规范》等相关法律法规要求，建立健全中药处方调剂（包括处方审核、调配、复核、发药等）的相关规范，确保中药处方调剂准确。</w:t>
            </w:r>
          </w:p>
          <w:p w14:paraId="2A7DC544">
            <w:r>
              <w:rPr>
                <w:sz w:val="24"/>
              </w:rPr>
              <w:t>（2）中药配剂（代煎）中心的信息管理系统接收到从采购人处传送的处方后，进入处方审核环节(包括系统初审与人工复审)。如出现审核不通过的异常处方，由系统返回采购人处进行处理；审核通过的处方经调剂复核，最后由专车配送到医院或由物流公司收件分拣，按时配送到患者家中。</w:t>
            </w:r>
          </w:p>
          <w:p w14:paraId="61369464">
            <w:r>
              <w:rPr>
                <w:sz w:val="24"/>
              </w:rPr>
              <w:t>9.3膏方制作</w:t>
            </w:r>
          </w:p>
          <w:p w14:paraId="11D6B808">
            <w:r>
              <w:rPr>
                <w:sz w:val="24"/>
              </w:rPr>
              <w:t>中药配剂（代煎）中心的信息管理系统接收到从采购人处传送的处方后，进入处方审核环节(包括系统初审与人工复审)。如出现审核不通过的异常处方，由系统返回采购人处进行处理；审核通过的处方经调剂复核、浸泡、煎煮、过滤、浓缩、收膏、分装、凉膏、包装等，最后由专车配送到医院或由物流公司收件分拣，配送到患者家中。</w:t>
            </w:r>
          </w:p>
          <w:p w14:paraId="4F360C71">
            <w:r>
              <w:rPr>
                <w:sz w:val="24"/>
              </w:rPr>
              <w:t>9.4临方加工炮制</w:t>
            </w:r>
          </w:p>
          <w:p w14:paraId="2D436105">
            <w:r>
              <w:rPr>
                <w:sz w:val="24"/>
              </w:rPr>
              <w:t>中药配剂（代煎）中心收到采购人需要个性化加工炮制的处方后，按照要求和有关操作规范进行加工炮制，产品须符合相关质量标准。</w:t>
            </w:r>
          </w:p>
          <w:p w14:paraId="23178FC9">
            <w:r>
              <w:rPr>
                <w:sz w:val="24"/>
              </w:rPr>
              <w:t>9.5中药代煎代配服务要求</w:t>
            </w:r>
          </w:p>
          <w:p w14:paraId="36BE8752">
            <w:r>
              <w:rPr>
                <w:sz w:val="24"/>
              </w:rPr>
              <w:t>（1）急煎及特殊交付要求的中药：配备车辆对药品在全市范围内进行紧急配送，两小时内送达甲方指定地点。</w:t>
            </w:r>
          </w:p>
          <w:p w14:paraId="7D53E4FE">
            <w:r>
              <w:rPr>
                <w:sz w:val="24"/>
              </w:rPr>
              <w:t>（2）代煎中药：</w:t>
            </w:r>
          </w:p>
          <w:p w14:paraId="0D6D7C85">
            <w:r>
              <w:rPr>
                <w:sz w:val="24"/>
              </w:rPr>
              <w:t>①　门诊代煎中药：中山市北部镇区（黄圃、南头、三角、阜沙）范围内，要求对13:00 前完成缴费的，当天送达；其他情况允许次日送达。</w:t>
            </w:r>
          </w:p>
          <w:p w14:paraId="0BAB66DC">
            <w:r>
              <w:rPr>
                <w:sz w:val="24"/>
              </w:rPr>
              <w:t>②　住院代煎中药：采购人 13:00 前发送的处方，中标人派专人当天 17：30前送达指定临床科室；采购人 13:00 后发送的处方，中标人派专人次日10：00 前送达指定临床科室；特殊要求或急煎急送的代煎中药：中标人按规定时限直接送达相关病区护士站或采购人指定地点。</w:t>
            </w:r>
          </w:p>
          <w:p w14:paraId="2A588EEA">
            <w:r>
              <w:rPr>
                <w:sz w:val="24"/>
              </w:rPr>
              <w:t>③　配送费用：</w:t>
            </w:r>
          </w:p>
          <w:p w14:paraId="4DE9B16E">
            <w:r>
              <w:rPr>
                <w:sz w:val="24"/>
              </w:rPr>
              <w:t xml:space="preserve">   中山市内由中标供应商免费按时限配送给患者或医院指定地址，快递费用由中标供应商承担，中山市外地址快递费由患者到付。</w:t>
            </w:r>
          </w:p>
          <w:p w14:paraId="20CA3AE7">
            <w:r>
              <w:rPr>
                <w:sz w:val="24"/>
              </w:rPr>
              <w:t>三、项目要求</w:t>
            </w:r>
          </w:p>
          <w:p w14:paraId="76E51588">
            <w:r>
              <w:rPr>
                <w:sz w:val="24"/>
              </w:rPr>
              <w:t>1、</w:t>
            </w:r>
            <w:r>
              <w:rPr>
                <w:rFonts w:hint="eastAsia"/>
                <w:sz w:val="24"/>
                <w:lang w:eastAsia="zh-CN"/>
              </w:rPr>
              <w:t>供应商</w:t>
            </w:r>
            <w:r>
              <w:rPr>
                <w:sz w:val="24"/>
              </w:rPr>
              <w:t>提供采购人所需中药饮片，并保证能满足日常的临床诊疗需要。</w:t>
            </w:r>
            <w:r>
              <w:rPr>
                <w:rFonts w:hint="eastAsia"/>
                <w:sz w:val="24"/>
                <w:lang w:eastAsia="zh-CN"/>
              </w:rPr>
              <w:t>供应商</w:t>
            </w:r>
            <w:r>
              <w:rPr>
                <w:sz w:val="24"/>
              </w:rPr>
              <w:t>不得以任何借口（如无货，采购量少等）不执行医院药品采购计划，如无法执行时，需支付相关违约金。</w:t>
            </w:r>
          </w:p>
          <w:p w14:paraId="22B59FAA">
            <w:r>
              <w:rPr>
                <w:sz w:val="24"/>
              </w:rPr>
              <w:t>2、</w:t>
            </w:r>
            <w:r>
              <w:rPr>
                <w:rFonts w:hint="eastAsia"/>
                <w:sz w:val="24"/>
                <w:lang w:eastAsia="zh-CN"/>
              </w:rPr>
              <w:t>供应商</w:t>
            </w:r>
            <w:r>
              <w:rPr>
                <w:sz w:val="24"/>
              </w:rPr>
              <w:t>应保证采购人提出采购计划后，在24小时内送至采购人指定地点，急需品种在2小时内送达。</w:t>
            </w:r>
            <w:r>
              <w:rPr>
                <w:rFonts w:hint="eastAsia"/>
                <w:sz w:val="24"/>
                <w:lang w:eastAsia="zh-CN"/>
              </w:rPr>
              <w:t>供应商</w:t>
            </w:r>
            <w:r>
              <w:rPr>
                <w:sz w:val="24"/>
              </w:rPr>
              <w:t>在运输中药饮片过程中应有保证中药饮片质量的措施。</w:t>
            </w:r>
            <w:r>
              <w:rPr>
                <w:rFonts w:hint="eastAsia"/>
                <w:sz w:val="24"/>
                <w:lang w:eastAsia="zh-CN"/>
              </w:rPr>
              <w:t>供应商</w:t>
            </w:r>
            <w:r>
              <w:rPr>
                <w:sz w:val="24"/>
              </w:rPr>
              <w:t>供应前一工作日下午18：00前，需将拟供应的计划清单与用户确认核对。运输费用、装卸费用等由</w:t>
            </w:r>
            <w:r>
              <w:rPr>
                <w:rFonts w:hint="eastAsia"/>
                <w:sz w:val="24"/>
                <w:lang w:eastAsia="zh-CN"/>
              </w:rPr>
              <w:t>供应商</w:t>
            </w:r>
            <w:r>
              <w:rPr>
                <w:sz w:val="24"/>
              </w:rPr>
              <w:t>承担。供应商配送的中药饮片送达采购人指定地点后，待采购人相关人员验收无误后方可离开，对不符合合同约定或质量要求的，采购人有权拒绝签收。如超过3次（含）出现无法按时、足量提供饮片，需在接收到第三次订单的3日内提供无法供应该中药饮片品种说明并加盖公章，采购人有权在缺货期间从其他供应商处调货；如不提供说明，采购人有权终止该品种的供应合同。</w:t>
            </w:r>
          </w:p>
          <w:p w14:paraId="274E12B3">
            <w:r>
              <w:rPr>
                <w:sz w:val="24"/>
              </w:rPr>
              <w:t>3、</w:t>
            </w:r>
            <w:r>
              <w:rPr>
                <w:rFonts w:hint="eastAsia"/>
                <w:sz w:val="24"/>
                <w:lang w:eastAsia="zh-CN"/>
              </w:rPr>
              <w:t>供应商</w:t>
            </w:r>
            <w:r>
              <w:rPr>
                <w:sz w:val="24"/>
              </w:rPr>
              <w:t>提供的中药饮片的产地、规格、质量、价格、包装、有效期等均需符合招标要求及有关规定。直接接触中药饮片包装的标签至少应当标注名称、中药饮片执行标准、包装规格、生产日期、产品批号、保质期、贮藏条件、生产企业、生产地址、联系方式等内容（具体应根据国家最新关于中药饮片包装、标签的相关规定执行）。包装色标需符合国家中医药管理局规定的色标要求。</w:t>
            </w:r>
          </w:p>
          <w:p w14:paraId="03C7A69A">
            <w:r>
              <w:rPr>
                <w:sz w:val="24"/>
              </w:rPr>
              <w:t>4、</w:t>
            </w:r>
            <w:r>
              <w:rPr>
                <w:rFonts w:hint="eastAsia"/>
                <w:sz w:val="24"/>
                <w:lang w:eastAsia="zh-CN"/>
              </w:rPr>
              <w:t>供应商</w:t>
            </w:r>
            <w:r>
              <w:rPr>
                <w:sz w:val="24"/>
              </w:rPr>
              <w:t>提供的中药饮片包装需要按照采购人所需包装规格提供，并配有方便患者携带饮片的包装袋（如塑料袋或纸袋等）。</w:t>
            </w:r>
          </w:p>
          <w:p w14:paraId="25EDEBD1">
            <w:r>
              <w:rPr>
                <w:sz w:val="24"/>
              </w:rPr>
              <w:t>5、</w:t>
            </w:r>
            <w:r>
              <w:rPr>
                <w:rFonts w:hint="eastAsia"/>
                <w:sz w:val="24"/>
                <w:lang w:eastAsia="zh-CN"/>
              </w:rPr>
              <w:t>供应商</w:t>
            </w:r>
            <w:r>
              <w:rPr>
                <w:sz w:val="24"/>
              </w:rPr>
              <w:t>应按照采购人要求，参照《中华人民共和国药典》和临床用药习惯，应能提供满足采购人要求的多种规格品种；如果有特殊包装需求，需能够满足临床要求。</w:t>
            </w:r>
          </w:p>
          <w:p w14:paraId="5478ADFF">
            <w:r>
              <w:rPr>
                <w:sz w:val="24"/>
              </w:rPr>
              <w:t>6、中标供应商提供的全部中药饮片均应按国家规定的标准及保护措施进行包装，每一个包装箱内应附有一份详细装箱单。包装材料、标记和包装箱内外的单据应符合国家的有关要求。</w:t>
            </w:r>
          </w:p>
          <w:p w14:paraId="7B506C24">
            <w:r>
              <w:rPr>
                <w:sz w:val="24"/>
              </w:rPr>
              <w:t>7、本项目所投中药饮片应当符合现行版《中华人民共和国药典》、《广东省中药炮制规范》、《广东省中药材标准》、各省中药材标准和炮制规范等要求，并满足采购人的用药习惯。</w:t>
            </w:r>
          </w:p>
          <w:p w14:paraId="37BE7A45">
            <w:r>
              <w:rPr>
                <w:b/>
                <w:sz w:val="24"/>
              </w:rPr>
              <w:t>8、要求中标供应商至少派驻1名经培训考核合格的中药专业人员协助科室完成中药饮片上架，药品补充、运送等工作，派驻人员的工资及相关福利待遇等事宜由各中标供应商自行负责，并接受采购人监管，采购人不再另行支付费用。根据采购人业务发展需要和医院需求，中标供应商须按需求及时增加人员。</w:t>
            </w:r>
          </w:p>
          <w:p w14:paraId="3EE4EF34">
            <w:r>
              <w:rPr>
                <w:sz w:val="24"/>
              </w:rPr>
              <w:t>9、为医院提供相应服务包括但不限于中药代煎、代配、膏方制作、临方炮制等相关服务，并应配有符合规范的煎煮配送服务中心。</w:t>
            </w:r>
          </w:p>
          <w:p w14:paraId="76270EFE">
            <w:r>
              <w:rPr>
                <w:sz w:val="24"/>
              </w:rPr>
              <w:t>10、中标供应商承包及负责招标文件对中标供应商要求的一切事宜及责任。包括货物供货、运输、保管、验收及相关服务等。</w:t>
            </w:r>
          </w:p>
          <w:p w14:paraId="6465266D">
            <w:r>
              <w:rPr>
                <w:sz w:val="24"/>
              </w:rPr>
              <w:t>11、中标供应商不得以任何方式转包或分包本项目。</w:t>
            </w:r>
          </w:p>
          <w:p w14:paraId="26486257">
            <w:r>
              <w:rPr>
                <w:sz w:val="24"/>
              </w:rPr>
              <w:t>12、中标供应商提供的服务不符合采购文件或合同规定的或未能按合同规定的交货时间提供服务的，采购人有权拒绝接收，且有权解除合同。</w:t>
            </w:r>
          </w:p>
          <w:p w14:paraId="16013726">
            <w:r>
              <w:rPr>
                <w:sz w:val="24"/>
              </w:rPr>
              <w:t>13、最终数量按实际采购数量结算。</w:t>
            </w:r>
          </w:p>
          <w:p w14:paraId="342CFF47">
            <w:r>
              <w:rPr>
                <w:sz w:val="24"/>
              </w:rPr>
              <w:t>14、合同金额及期限执行标准：</w:t>
            </w:r>
          </w:p>
          <w:p w14:paraId="1DFCB1C9">
            <w:pPr>
              <w:rPr>
                <w:highlight w:val="none"/>
              </w:rPr>
            </w:pPr>
            <w:r>
              <w:rPr>
                <w:sz w:val="24"/>
                <w:highlight w:val="none"/>
              </w:rPr>
              <w:t>14.1合同</w:t>
            </w:r>
            <w:r>
              <w:rPr>
                <w:rFonts w:hint="eastAsia"/>
                <w:sz w:val="24"/>
                <w:highlight w:val="none"/>
                <w:lang w:eastAsia="zh-CN"/>
              </w:rPr>
              <w:t>约定</w:t>
            </w:r>
            <w:r>
              <w:rPr>
                <w:sz w:val="24"/>
                <w:highlight w:val="none"/>
              </w:rPr>
              <w:t>之日起</w:t>
            </w:r>
            <w:r>
              <w:rPr>
                <w:rFonts w:hint="eastAsia"/>
                <w:sz w:val="24"/>
                <w:highlight w:val="none"/>
                <w:lang w:eastAsia="zh-CN"/>
              </w:rPr>
              <w:t>1</w:t>
            </w:r>
            <w:r>
              <w:rPr>
                <w:sz w:val="24"/>
                <w:highlight w:val="none"/>
              </w:rPr>
              <w:t>年（自合同</w:t>
            </w:r>
            <w:r>
              <w:rPr>
                <w:rFonts w:hint="eastAsia"/>
                <w:sz w:val="24"/>
                <w:highlight w:val="none"/>
                <w:lang w:eastAsia="zh-CN"/>
              </w:rPr>
              <w:t>约定</w:t>
            </w:r>
            <w:r>
              <w:rPr>
                <w:sz w:val="24"/>
                <w:highlight w:val="none"/>
              </w:rPr>
              <w:t>之日起计算，本项目非一次性供货项目，中标供应商应按照采购人的采购需求数量，做到分批分次不定时送货，最终采购数量以实际为准，采购人对最终采购数量及金额等均不作任何保证或承诺。供货期结束或采购累计金额达到本项目采购预算，合同终止（按先达到的为准））。</w:t>
            </w:r>
          </w:p>
          <w:p w14:paraId="2CDCBA02">
            <w:r>
              <w:rPr>
                <w:sz w:val="24"/>
              </w:rPr>
              <w:t>四、中药饮片的质量要求</w:t>
            </w:r>
          </w:p>
          <w:p w14:paraId="15157E60">
            <w:r>
              <w:rPr>
                <w:sz w:val="24"/>
              </w:rPr>
              <w:t>1、生产企业制定有严格的内控药品标准（包括原料、各单元工艺环节物料、中药饮片成品检验标准及过程控制指标），</w:t>
            </w:r>
            <w:r>
              <w:rPr>
                <w:rFonts w:hint="eastAsia"/>
                <w:sz w:val="24"/>
                <w:lang w:eastAsia="zh-CN"/>
              </w:rPr>
              <w:t>供应商</w:t>
            </w:r>
            <w:r>
              <w:rPr>
                <w:sz w:val="24"/>
              </w:rPr>
              <w:t>需提供相关证明材料以及药品质控方案以明确生产全过程质量控制的措施、关键质控点及相关质量要求，使作为初始原料的中药材、提取用原料的饮片、制剂用原料的中间体符合相关部门规定标准，保证中药饮片的质量。</w:t>
            </w:r>
          </w:p>
          <w:p w14:paraId="0E8EBF6B">
            <w:r>
              <w:rPr>
                <w:sz w:val="24"/>
              </w:rPr>
              <w:t>2、供应商提供的中药饮片能严格执行现行版《中华人民共和国药典》、《广东省中药炮制规范》、《广东省中药材标准》、各省中药材标准和炮制规范等的标准（若有最新文件，则以最新文件规定为准），中药饮片规格应符合国家中医药管理局等相关要求，能满足招标人的用药习惯。</w:t>
            </w:r>
          </w:p>
          <w:p w14:paraId="429B2313">
            <w:r>
              <w:rPr>
                <w:sz w:val="24"/>
              </w:rPr>
              <w:t>3、</w:t>
            </w:r>
            <w:r>
              <w:rPr>
                <w:rFonts w:hint="eastAsia"/>
                <w:sz w:val="24"/>
                <w:lang w:eastAsia="zh-CN"/>
              </w:rPr>
              <w:t>供应商</w:t>
            </w:r>
            <w:r>
              <w:rPr>
                <w:sz w:val="24"/>
              </w:rPr>
              <w:t>有符合中药传统用药习惯的炮制生产线，有完善的炮制生产工艺，提供的炮制品种数量丰富，提供的炮制品种生产工艺规程完善详实，生产记录完整规范。</w:t>
            </w:r>
          </w:p>
          <w:p w14:paraId="00C04034">
            <w:r>
              <w:rPr>
                <w:sz w:val="24"/>
              </w:rPr>
              <w:t>4、</w:t>
            </w:r>
            <w:r>
              <w:rPr>
                <w:rFonts w:hint="eastAsia"/>
                <w:sz w:val="24"/>
                <w:lang w:eastAsia="zh-CN"/>
              </w:rPr>
              <w:t>供应商</w:t>
            </w:r>
            <w:r>
              <w:rPr>
                <w:sz w:val="24"/>
              </w:rPr>
              <w:t>与采购人签订“质量保证协议书”，并向采购人提供每一批中药饮片的质检报告。</w:t>
            </w:r>
          </w:p>
          <w:p w14:paraId="60F8B1C9">
            <w:r>
              <w:rPr>
                <w:sz w:val="24"/>
              </w:rPr>
              <w:t>5、中药饮片的有效期应符合采购人药品入库验收标准，以保证药品质量。</w:t>
            </w:r>
          </w:p>
          <w:p w14:paraId="762B552D">
            <w:r>
              <w:rPr>
                <w:sz w:val="24"/>
              </w:rPr>
              <w:t>6、产地要求：</w:t>
            </w:r>
            <w:r>
              <w:rPr>
                <w:rFonts w:hint="eastAsia"/>
                <w:sz w:val="24"/>
                <w:lang w:eastAsia="zh-CN"/>
              </w:rPr>
              <w:t>供应商</w:t>
            </w:r>
            <w:r>
              <w:rPr>
                <w:sz w:val="24"/>
              </w:rPr>
              <w:t>需制定严格的产品质量标准控制体系，确保药材来源稳定可靠。</w:t>
            </w:r>
          </w:p>
          <w:p w14:paraId="0218C525">
            <w:r>
              <w:rPr>
                <w:sz w:val="24"/>
              </w:rPr>
              <w:t>7、国药准字号的中药饮片需要提供相关国药准字号相关文件。</w:t>
            </w:r>
          </w:p>
          <w:p w14:paraId="65B137BD">
            <w:r>
              <w:rPr>
                <w:sz w:val="24"/>
              </w:rPr>
              <w:t>五、其他要求</w:t>
            </w:r>
          </w:p>
          <w:p w14:paraId="7D665E3A">
            <w:r>
              <w:rPr>
                <w:sz w:val="24"/>
              </w:rPr>
              <w:t>1、</w:t>
            </w:r>
            <w:r>
              <w:rPr>
                <w:rFonts w:hint="eastAsia"/>
                <w:sz w:val="24"/>
                <w:lang w:eastAsia="zh-CN"/>
              </w:rPr>
              <w:t>供应商</w:t>
            </w:r>
            <w:r>
              <w:rPr>
                <w:sz w:val="24"/>
              </w:rPr>
              <w:t>应当按项目需求如实进行报价，杜绝弄虚作假，胡乱报价。</w:t>
            </w:r>
          </w:p>
          <w:p w14:paraId="6E1ECAE2">
            <w:r>
              <w:rPr>
                <w:sz w:val="24"/>
              </w:rPr>
              <w:t>2、项目严禁各</w:t>
            </w:r>
            <w:r>
              <w:rPr>
                <w:rFonts w:hint="eastAsia"/>
                <w:sz w:val="24"/>
                <w:lang w:eastAsia="zh-CN"/>
              </w:rPr>
              <w:t>供应商</w:t>
            </w:r>
            <w:r>
              <w:rPr>
                <w:sz w:val="24"/>
              </w:rPr>
              <w:t>进行恶意串通、恶意竞争或其它违规行为，一经查实将按照法规相关规定处理。</w:t>
            </w:r>
          </w:p>
          <w:p w14:paraId="7588B969">
            <w:r>
              <w:rPr>
                <w:sz w:val="24"/>
              </w:rPr>
              <w:t>3、如遇特殊情况时，</w:t>
            </w:r>
            <w:r>
              <w:rPr>
                <w:rFonts w:hint="eastAsia"/>
                <w:sz w:val="24"/>
                <w:lang w:eastAsia="zh-CN"/>
              </w:rPr>
              <w:t>供应商</w:t>
            </w:r>
            <w:r>
              <w:rPr>
                <w:sz w:val="24"/>
              </w:rPr>
              <w:t>需确保对采购人的供应服务不受影响。</w:t>
            </w:r>
          </w:p>
          <w:p w14:paraId="45848E41">
            <w:r>
              <w:rPr>
                <w:sz w:val="24"/>
              </w:rPr>
              <w:t>4、中标供应商中标后须及时与采购人签订药品购销合同、采购廉洁协议、质量保证协议等，并严格履行。</w:t>
            </w:r>
          </w:p>
          <w:p w14:paraId="5CE3A9C1">
            <w:r>
              <w:rPr>
                <w:sz w:val="24"/>
              </w:rPr>
              <w:t>5、双方签订合同后，中标供应商应及时进行供应服务，不得随意更改中药饮片供应价格；中标供应商应及时配合采购人进行药品的发票开具和药品对账工作，对于超过1个月不配合采购人开具发票和对账、药品账目反复多次出现问题等情况，采购人有权暂停其配送服务，暂停服务期间，相关药品采购人有权从其他配送公司进行紧急调货。</w:t>
            </w:r>
          </w:p>
          <w:p w14:paraId="084083E5">
            <w:r>
              <w:rPr>
                <w:sz w:val="24"/>
              </w:rPr>
              <w:t>6、中标供应商所投药品出现虫蛀、霉变，包装中药饮片出现空包、封口不严，未按中标规格装量包装或装量不符合要求等质量问题，中标供应商须在1天内为采购人更换合格品，而且中标供应商须承担由此发生的一切费用和相应的违约责任。退换或由此引发的患者投诉及赔偿等相关问题由中标供应商负责。如超过3次（含）出现此类情况，视同严重违约，停止中标供应商对相关品种的配送服务并追究相关责任。</w:t>
            </w:r>
          </w:p>
          <w:p w14:paraId="20CFEC5A">
            <w:r>
              <w:rPr>
                <w:sz w:val="24"/>
              </w:rPr>
              <w:t>7、中标供应商保证所供应的中药饮片杂质，如二氧化硫、农药残留、重金属含量等符合相关规定（每批次随货附质量报告单复印件），如违反相关规定，视同严重违约并追究相关责任。经市级以上药品检验管理部门检测属实或遭电视、网络等媒体曝光的，由此造成的一切经济及法律责任由中标供应商负责。</w:t>
            </w:r>
          </w:p>
          <w:p w14:paraId="1F1378B5">
            <w:r>
              <w:rPr>
                <w:sz w:val="24"/>
              </w:rPr>
              <w:t>8、因中药饮片质量问题引起医疗事故或纠纷，视同严重违约并追究相关责任，同时由此造成的一切经济及法律责任由中标供应商负责。</w:t>
            </w:r>
          </w:p>
          <w:p w14:paraId="315B8CB8">
            <w:r>
              <w:rPr>
                <w:sz w:val="24"/>
              </w:rPr>
              <w:t>9、如果采购人在临床使用中发现中药饮片不符合质量要求（含出现严重的不良反应时），需要进行质量检验，则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在质量检验报告结果明确前，采购人有权从其他配送商处紧急调货，以避免影响临床的正常诊疗工作。</w:t>
            </w:r>
          </w:p>
          <w:p w14:paraId="069CC442">
            <w:r>
              <w:rPr>
                <w:sz w:val="24"/>
              </w:rPr>
              <w:t>10、对于滞销产品（采购人收货90天后仍未销售），中标供应商须承诺可无条件退回货款，取回滞销产品。</w:t>
            </w:r>
          </w:p>
          <w:p w14:paraId="6827682E">
            <w:r>
              <w:rPr>
                <w:sz w:val="24"/>
              </w:rPr>
              <w:t>11、当发生如下情况时，中标供应商须根据采购人要求无条件免费退换货：（1）采购人发现饮片供应质量问题；（2）采购人发现产品未按要求进行包装；（3）药监部门发布需召回或厂家自主召回品种；（4）其他：采购人认为有问题的情况。</w:t>
            </w:r>
          </w:p>
          <w:p w14:paraId="6921FFD6">
            <w:r>
              <w:rPr>
                <w:sz w:val="24"/>
              </w:rPr>
              <w:t>备注：</w:t>
            </w:r>
          </w:p>
          <w:p w14:paraId="3565FE04">
            <w:r>
              <w:rPr>
                <w:sz w:val="24"/>
              </w:rPr>
              <w:t>（1）</w:t>
            </w:r>
            <w:r>
              <w:rPr>
                <w:rFonts w:hint="eastAsia"/>
                <w:sz w:val="24"/>
                <w:lang w:eastAsia="zh-CN"/>
              </w:rPr>
              <w:t>供应商</w:t>
            </w:r>
            <w:r>
              <w:rPr>
                <w:sz w:val="24"/>
              </w:rPr>
              <w:t>须最大程度满足采购人“其它未列明临时采购品种”的供应，可在</w:t>
            </w:r>
            <w:r>
              <w:rPr>
                <w:rFonts w:hint="eastAsia"/>
                <w:sz w:val="24"/>
                <w:lang w:eastAsia="zh-CN"/>
              </w:rPr>
              <w:t>响应文件</w:t>
            </w:r>
            <w:r>
              <w:rPr>
                <w:sz w:val="24"/>
              </w:rPr>
              <w:t>中列明“其它未列明临时采购品种”的供应能力，需列明品种名称、供应标准、产地等。（须出具“其它未列明临时采购品种”供应能力承诺书）</w:t>
            </w:r>
          </w:p>
          <w:p w14:paraId="1CCB3F4E">
            <w:r>
              <w:rPr>
                <w:sz w:val="24"/>
              </w:rPr>
              <w:t>六、售后服务要求</w:t>
            </w:r>
          </w:p>
          <w:p w14:paraId="426DB74E">
            <w:r>
              <w:rPr>
                <w:sz w:val="24"/>
              </w:rPr>
              <w:t>1、中标供应商应按照国家有关法律、法规、规章和“三包”规定提供售后服务。售后服务及质保条件等不得低于国家和行业主管部门制定的有关标准。</w:t>
            </w:r>
          </w:p>
          <w:p w14:paraId="21D7E4E4">
            <w:pPr>
              <w:ind w:firstLine="0"/>
              <w:rPr>
                <w:highlight w:val="yellow"/>
              </w:rPr>
            </w:pPr>
            <w:r>
              <w:rPr>
                <w:sz w:val="24"/>
              </w:rPr>
              <w:t>2、中标供应商须具有相关技术人员，中标供应商接到采购人售后咨询应在2小时内有专人答复，若需要现场解决应安排专人24小时内到达，售后服务方式均为中标供应商上门服务。</w:t>
            </w:r>
          </w:p>
          <w:p w14:paraId="07CEB05D">
            <w:r>
              <w:rPr>
                <w:rFonts w:hint="eastAsia"/>
                <w:sz w:val="24"/>
              </w:rPr>
              <w:t>七</w:t>
            </w:r>
            <w:r>
              <w:rPr>
                <w:sz w:val="24"/>
              </w:rPr>
              <w:t>、其他服务</w:t>
            </w:r>
          </w:p>
          <w:p w14:paraId="077E5B36">
            <w:r>
              <w:rPr>
                <w:sz w:val="24"/>
              </w:rPr>
              <w:t>对医院中医药学科发展提供协助，制定《对医院中医药学科高水平发展的服务方案》，并出具对应服务方案的履约计划，《对医院中医药学科高水平发展的服务方案》包括但不限于“引进并建设国医大师工作站、支持协助取得、完成省级以上科研课题（如省自然、国自然等）、协助发展医院中药协定处方、中药膏方、中药临方炮制等业务”等。</w:t>
            </w:r>
          </w:p>
          <w:p w14:paraId="46DF101E">
            <w:r>
              <w:rPr>
                <w:rFonts w:hint="eastAsia"/>
                <w:sz w:val="24"/>
              </w:rPr>
              <w:t>八</w:t>
            </w:r>
            <w:r>
              <w:rPr>
                <w:sz w:val="24"/>
              </w:rPr>
              <w:t>、服务监管要求</w:t>
            </w:r>
          </w:p>
          <w:p w14:paraId="35C6EEC9">
            <w:r>
              <w:rPr>
                <w:sz w:val="24"/>
              </w:rPr>
              <w:t>1、中标方在合同执行期间，须接受采购单位管理部门和院方的监管。中药饮片代煎项目最终付款与代煎中药配送时效相结合。中标方因服务质量或配送不及时引起的投诉，经院方核实为有效投诉且责任在中标方的，每项投诉给予中标方相应经济处罚。</w:t>
            </w:r>
          </w:p>
          <w:p w14:paraId="4C677474">
            <w:r>
              <w:rPr>
                <w:sz w:val="24"/>
              </w:rPr>
              <w:t>2、院方成立代煎中药质控安全小组，对代煎中药及相关服务定期进行全面检查，并分析、反馈。中标方需无条件接受院方检查，对院方的反馈意见做相应整改。</w:t>
            </w:r>
          </w:p>
          <w:p w14:paraId="1467ECE6"/>
          <w:p w14:paraId="7543E922"/>
          <w:p w14:paraId="47DA652E"/>
        </w:tc>
      </w:tr>
    </w:tbl>
    <w:p w14:paraId="441E972B"/>
    <w:p w14:paraId="55DB2168">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01E17"/>
    <w:rsid w:val="00713502"/>
    <w:rsid w:val="008848E3"/>
    <w:rsid w:val="00BD42C6"/>
    <w:rsid w:val="044B7594"/>
    <w:rsid w:val="1ECD256B"/>
    <w:rsid w:val="2551214B"/>
    <w:rsid w:val="37C25E3D"/>
    <w:rsid w:val="476218AB"/>
    <w:rsid w:val="63034016"/>
    <w:rsid w:val="65001E17"/>
    <w:rsid w:val="74C01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next w:val="1"/>
    <w:qFormat/>
    <w:uiPriority w:val="99"/>
    <w:rPr>
      <w:rFonts w:ascii="Arial" w:hAnsi="Arial"/>
      <w:color w:val="00000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character" w:customStyle="1" w:styleId="11">
    <w:name w:val="页眉 Char"/>
    <w:basedOn w:val="9"/>
    <w:link w:val="6"/>
    <w:qFormat/>
    <w:uiPriority w:val="0"/>
    <w:rPr>
      <w:rFonts w:ascii="Times New Roman" w:hAnsi="Times New Roman" w:eastAsia="宋体" w:cs="Times New Roman"/>
      <w:kern w:val="2"/>
      <w:sz w:val="18"/>
      <w:szCs w:val="18"/>
    </w:rPr>
  </w:style>
  <w:style w:type="character" w:customStyle="1" w:styleId="12">
    <w:name w:val="页脚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7036</Words>
  <Characters>7160</Characters>
  <Lines>61</Lines>
  <Paragraphs>17</Paragraphs>
  <TotalTime>2</TotalTime>
  <ScaleCrop>false</ScaleCrop>
  <LinksUpToDate>false</LinksUpToDate>
  <CharactersWithSpaces>7186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2025-09-03T09:38:00Z</dcterms:created>
  <dc:creator>Mitty</dc:creator>
  <cp:lastModifiedBy>Mitty</cp:lastModifiedBy>
  <dcterms:modified xsi:type="dcterms:W3CDTF">2025-09-03T11:10:07Z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1DF77024BF544A179C3D0C86E78869F2_13</vt:lpwstr>
  </property>
  <property fmtid="{D5CDD505-2E9C-101B-9397-08002B2CF9AE}" pid="4" name="KSOTemplateDocerSaveRecord">
    <vt:lpwstr>eyJoZGlkIjoiMjAyNDk0OTM5ZjE2MDUwMDJiMWIwZGQwMjQwZjRmZDAiLCJ1c2VySWQiOiI0NDc4NzM5NzgifQ==</vt:lpwstr>
  </property>
</Properties>
</file>