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2C83A">
      <w:pPr>
        <w:pStyle w:val="4"/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项目内容</w:t>
      </w:r>
    </w:p>
    <w:p w14:paraId="77005717">
      <w:pPr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397" w:tblpY="74"/>
        <w:tblOverlap w:val="never"/>
        <w:tblW w:w="6689" w:type="pct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1"/>
        <w:gridCol w:w="1333"/>
        <w:gridCol w:w="1857"/>
        <w:gridCol w:w="4525"/>
        <w:gridCol w:w="1349"/>
        <w:gridCol w:w="1424"/>
      </w:tblGrid>
      <w:tr w14:paraId="6AD8C4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A40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  <w:lang w:val="en-US" w:eastAsia="zh-CN"/>
              </w:rPr>
              <w:t>序号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9D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</w:rPr>
              <w:t>项目</w:t>
            </w:r>
            <w:r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  <w:lang w:val="en-US" w:eastAsia="zh-CN"/>
              </w:rPr>
              <w:t>编号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7C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</w:rPr>
              <w:t>项目名称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5C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</w:rPr>
              <w:t>用途及需求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B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  <w:lang w:val="en-US" w:eastAsia="zh-CN"/>
              </w:rPr>
              <w:t>预计年采购量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D6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宋体" w:hAnsi="宋体" w:eastAsia="宋体" w:cstheme="minorBidi"/>
                <w:b/>
                <w:bCs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000000"/>
                <w:sz w:val="28"/>
                <w:lang w:val="en-US" w:eastAsia="zh-CN"/>
              </w:rPr>
              <w:t>单价最高限价</w:t>
            </w:r>
          </w:p>
        </w:tc>
      </w:tr>
      <w:tr w14:paraId="1E8DC7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8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PYHC（L）-（1）</w:t>
            </w:r>
          </w:p>
          <w:p w14:paraId="2030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250822-1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一次性电子输尿管肾孟内窥镜导管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FDA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适用范围：适用于输尿管、肾孟疾病的诊断与治疗。</w:t>
            </w:r>
          </w:p>
          <w:p w14:paraId="024A3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产品组成：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一次性电子输尿管肾孟内窥镜导管。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求:（1）外包装消毒、取出镜体必须符合无菌要求。(2)插入部镜体最粗部分不超过Fr7.5。(3)器械通道孔≥1.2mm。(4)裸镜弯曲角度≥300°，进入可弯曲负压吸引鞘后，弯曲角度≥120°，弯曲半径≤88mm。(5)操作手柄支持拍照、录像功能。</w:t>
            </w:r>
          </w:p>
          <w:p w14:paraId="673B4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3.使用科室：泌尿外科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100条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93C8A4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63E891F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A0E57DE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490DFF6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C901868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A182708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0C0E2B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E33A2F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2500元/条</w:t>
            </w:r>
          </w:p>
        </w:tc>
      </w:tr>
      <w:tr w14:paraId="7503E6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3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4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PYHC（L）-（1）</w:t>
            </w:r>
          </w:p>
          <w:p w14:paraId="1A3F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250822-2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一次性使用胰岛素笔配套用针(32G)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FDD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1.适用范围：用于胰岛素注射，可与市面上所有胰岛素注射笔配套使用。</w:t>
            </w:r>
          </w:p>
          <w:p w14:paraId="7B6A301E">
            <w:pPr>
              <w:wordWrap/>
              <w:spacing w:before="0" w:after="0"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2.产品组成：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一次性使用胰岛素笔配套用针(32G)</w:t>
            </w:r>
          </w:p>
          <w:p w14:paraId="57853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3.使用科室：内分泌科、肿瘤内科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5000盒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E0DF4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45EE7E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9C62EB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AF868A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12.6元/盒</w:t>
            </w:r>
          </w:p>
        </w:tc>
      </w:tr>
      <w:tr w14:paraId="07AD84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8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PYHC（L）-（1）</w:t>
            </w:r>
          </w:p>
          <w:p w14:paraId="16D8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250822-3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胰岛素笔式数显注射器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E7D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1.适用范围：适配目前院内使用的德谷门冬双胰岛素。</w:t>
            </w:r>
          </w:p>
          <w:p w14:paraId="4A776432">
            <w:pPr>
              <w:wordWrap/>
              <w:spacing w:before="0" w:after="0"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2.产品组成：胰岛素笔式数显注射器</w:t>
            </w:r>
          </w:p>
          <w:p w14:paraId="12C9B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3.使用科室：内分泌科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100支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DE8E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77822D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B46984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7386D5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198元/支</w:t>
            </w:r>
          </w:p>
        </w:tc>
      </w:tr>
      <w:tr w14:paraId="73CF63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B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2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PYHC（L）-（1）</w:t>
            </w:r>
          </w:p>
          <w:p w14:paraId="1663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250822-4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5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一次性薄膜手套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84C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1.适用范围：临床日常操作中。</w:t>
            </w:r>
          </w:p>
          <w:p w14:paraId="26F94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2.产品组成：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一次性薄膜手套</w:t>
            </w:r>
          </w:p>
          <w:p w14:paraId="475A6399">
            <w:pPr>
              <w:pStyle w:val="2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3.使用科室：骨一科、神经内科、消化内科、妇科、手术麻醉科等。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15000袋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F0F3C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CC23BA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3C00D7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5元/袋</w:t>
            </w:r>
          </w:p>
        </w:tc>
      </w:tr>
      <w:tr w14:paraId="7612EF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8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C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PYHC（L）-（1）</w:t>
            </w:r>
          </w:p>
          <w:p w14:paraId="0642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250822-5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3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灭菌棉签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609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1.适用范围：用于患者皮肤浅表消毒。</w:t>
            </w:r>
          </w:p>
          <w:p w14:paraId="4341F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2.产品组成：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灭菌棉签(1000包/件)</w:t>
            </w:r>
          </w:p>
          <w:p w14:paraId="5E8F0CC1">
            <w:pPr>
              <w:pStyle w:val="2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3.使用科室：神经内科、消化内科、呼吸与危重症医学科、骨一科、急诊科等。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180000包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D207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C82A2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93E0A6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0.4元/包</w:t>
            </w:r>
          </w:p>
        </w:tc>
      </w:tr>
      <w:tr w14:paraId="355060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4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6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PYHC（L）-（1）</w:t>
            </w:r>
          </w:p>
          <w:p w14:paraId="12B70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250822-6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0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透明防水敷料</w:t>
            </w:r>
          </w:p>
        </w:tc>
        <w:tc>
          <w:tcPr>
            <w:tcW w:w="2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BC8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适用范围：用于覆盖和保护导管部位和伤口，维持湿润的环境，还可以作为次级敷料，对容易受损、擦伤的皮肤区域进行护盖，或用于留置针及导管固定。</w:t>
            </w:r>
          </w:p>
          <w:p w14:paraId="3882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2.产品组成：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透明防水敷料</w:t>
            </w:r>
          </w:p>
          <w:p w14:paraId="5CB3A347"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3.使用科室：呼吸与危重症医学科、神经外科、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急诊科、普外一科等。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13000片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81578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E3F091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7480CF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28C13D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E56CA7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DF3FF6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1.96元/片</w:t>
            </w:r>
          </w:p>
        </w:tc>
      </w:tr>
    </w:tbl>
    <w:p w14:paraId="1ABB43E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4AD31"/>
    <w:multiLevelType w:val="singleLevel"/>
    <w:tmpl w:val="9FF4AD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A4F201"/>
    <w:multiLevelType w:val="singleLevel"/>
    <w:tmpl w:val="66A4F2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12FBF"/>
    <w:rsid w:val="039171B5"/>
    <w:rsid w:val="158101E8"/>
    <w:rsid w:val="177116D6"/>
    <w:rsid w:val="17C74469"/>
    <w:rsid w:val="38011338"/>
    <w:rsid w:val="3C891001"/>
    <w:rsid w:val="49556488"/>
    <w:rsid w:val="59412FBF"/>
    <w:rsid w:val="6D06480D"/>
    <w:rsid w:val="74F4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2025-08-18T08:57:00Z</dcterms:created>
  <dc:creator>user</dc:creator>
  <cp:lastModifiedBy>Mitty</cp:lastModifiedBy>
  <dcterms:modified xsi:type="dcterms:W3CDTF">2025-08-22T10:44:30Z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494241B25965463CA6632B7FF830D067_11</vt:lpwstr>
  </property>
</Properties>
</file>