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b/>
          <w:color w:val="auto"/>
          <w:sz w:val="36"/>
          <w:szCs w:val="36"/>
        </w:rPr>
      </w:pPr>
      <w:r>
        <w:rPr>
          <w:rFonts w:hint="eastAsia"/>
          <w:bCs/>
          <w:color w:val="auto"/>
          <w:sz w:val="28"/>
          <w:szCs w:val="28"/>
        </w:rPr>
        <w:t xml:space="preserve">附件1： </w:t>
      </w:r>
      <w:r>
        <w:rPr>
          <w:rFonts w:hint="eastAsia"/>
          <w:b/>
          <w:color w:val="auto"/>
          <w:sz w:val="32"/>
          <w:szCs w:val="32"/>
        </w:rPr>
        <w:t xml:space="preserve">             </w:t>
      </w:r>
      <w:r>
        <w:rPr>
          <w:rFonts w:hint="eastAsia"/>
          <w:b/>
          <w:color w:val="auto"/>
          <w:sz w:val="36"/>
          <w:szCs w:val="36"/>
        </w:rPr>
        <w:t xml:space="preserve"> </w:t>
      </w:r>
      <w:r>
        <w:rPr>
          <w:b/>
          <w:color w:val="auto"/>
          <w:sz w:val="36"/>
          <w:szCs w:val="36"/>
        </w:rPr>
        <w:t>用户需求书</w:t>
      </w:r>
    </w:p>
    <w:p>
      <w:pPr>
        <w:pStyle w:val="9"/>
        <w:ind w:firstLine="482"/>
        <w:rPr>
          <w:rFonts w:hint="eastAsia"/>
          <w:b/>
          <w:color w:val="auto"/>
          <w:highlight w:val="none"/>
        </w:rPr>
      </w:pPr>
    </w:p>
    <w:p>
      <w:pPr>
        <w:pStyle w:val="9"/>
        <w:ind w:firstLine="482"/>
        <w:rPr>
          <w:b/>
          <w:color w:val="auto"/>
          <w:highlight w:val="none"/>
        </w:rPr>
      </w:pPr>
      <w:r>
        <w:rPr>
          <w:rFonts w:hint="eastAsia"/>
          <w:b/>
          <w:color w:val="auto"/>
          <w:highlight w:val="none"/>
        </w:rPr>
        <w:t>总则</w:t>
      </w:r>
    </w:p>
    <w:p>
      <w:pPr>
        <w:pStyle w:val="9"/>
        <w:ind w:firstLine="480"/>
        <w:rPr>
          <w:color w:val="auto"/>
          <w:highlight w:val="none"/>
        </w:rPr>
      </w:pPr>
      <w:r>
        <w:rPr>
          <w:rFonts w:hint="eastAsia"/>
          <w:color w:val="auto"/>
          <w:highlight w:val="none"/>
        </w:rPr>
        <w:t>1、成交供应商必须按国家、行业的标准及采购文件的要求对本项目提供相应的货物及服务。</w:t>
      </w:r>
    </w:p>
    <w:p>
      <w:pPr>
        <w:pStyle w:val="9"/>
        <w:ind w:firstLine="480"/>
        <w:rPr>
          <w:color w:val="auto"/>
          <w:highlight w:val="none"/>
        </w:rPr>
      </w:pPr>
      <w:r>
        <w:rPr>
          <w:rFonts w:hint="eastAsia"/>
          <w:color w:val="auto"/>
          <w:highlight w:val="none"/>
        </w:rPr>
        <w:t>2、《用户需求书》中凡有“★”标识的内容条款(如有)被视为实质性响应项目、指标；</w:t>
      </w:r>
      <w:r>
        <w:rPr>
          <w:rFonts w:hint="eastAsia"/>
          <w:color w:val="auto"/>
          <w:highlight w:val="none"/>
          <w:lang w:val="en-US" w:eastAsia="zh-CN"/>
        </w:rPr>
        <w:t>响应供应商</w:t>
      </w:r>
      <w:r>
        <w:rPr>
          <w:rFonts w:hint="eastAsia"/>
          <w:color w:val="auto"/>
          <w:highlight w:val="none"/>
        </w:rPr>
        <w:t>必须对此做出回答并完全满足这些要求不可以出现任何负偏离，如果出现负偏离将被视为无效</w:t>
      </w:r>
      <w:r>
        <w:rPr>
          <w:rFonts w:hint="eastAsia"/>
          <w:color w:val="auto"/>
          <w:highlight w:val="none"/>
          <w:lang w:val="en-US" w:eastAsia="zh-CN"/>
        </w:rPr>
        <w:t>响应</w:t>
      </w:r>
      <w:r>
        <w:rPr>
          <w:rFonts w:hint="eastAsia"/>
          <w:color w:val="auto"/>
          <w:highlight w:val="none"/>
        </w:rPr>
        <w:t>。凡有“▲”的内容（如有）为重点评审项目，供应商必须对该标识项目按照要求进行真实应答描述。</w:t>
      </w:r>
    </w:p>
    <w:p>
      <w:pPr>
        <w:pStyle w:val="9"/>
        <w:ind w:firstLine="480"/>
        <w:rPr>
          <w:color w:val="auto"/>
          <w:highlight w:val="none"/>
        </w:rPr>
      </w:pPr>
      <w:r>
        <w:rPr>
          <w:rFonts w:hint="eastAsia"/>
          <w:color w:val="auto"/>
          <w:highlight w:val="none"/>
          <w:lang w:val="en-US" w:eastAsia="zh-CN"/>
        </w:rPr>
        <w:t>3</w:t>
      </w:r>
      <w:r>
        <w:rPr>
          <w:rFonts w:hint="eastAsia"/>
          <w:color w:val="auto"/>
          <w:highlight w:val="none"/>
        </w:rPr>
        <w:t>、本项目由成交供应商负责采购文件对成交供应商要求的一切事宜及责任。响应报价中不得包含采购文件要求以外的内容，否则，在评</w:t>
      </w:r>
      <w:r>
        <w:rPr>
          <w:rFonts w:hint="eastAsia"/>
          <w:color w:val="auto"/>
          <w:highlight w:val="none"/>
          <w:lang w:val="en-US" w:eastAsia="zh-CN"/>
        </w:rPr>
        <w:t>审</w:t>
      </w:r>
      <w:r>
        <w:rPr>
          <w:rFonts w:hint="eastAsia"/>
          <w:color w:val="auto"/>
          <w:highlight w:val="none"/>
        </w:rPr>
        <w:t>时不予核减；若</w:t>
      </w:r>
      <w:r>
        <w:rPr>
          <w:rFonts w:hint="eastAsia"/>
          <w:color w:val="auto"/>
          <w:highlight w:val="none"/>
          <w:lang w:val="en-US" w:eastAsia="zh-CN"/>
        </w:rPr>
        <w:t>响应</w:t>
      </w:r>
      <w:r>
        <w:rPr>
          <w:rFonts w:hint="eastAsia"/>
          <w:color w:val="auto"/>
          <w:highlight w:val="none"/>
        </w:rPr>
        <w:t>报价有缺漏项的，缺漏项部分的价格视为已包含在</w:t>
      </w:r>
      <w:r>
        <w:rPr>
          <w:rFonts w:hint="eastAsia"/>
          <w:color w:val="auto"/>
          <w:highlight w:val="none"/>
          <w:lang w:val="en-US" w:eastAsia="zh-CN"/>
        </w:rPr>
        <w:t>响应</w:t>
      </w:r>
      <w:r>
        <w:rPr>
          <w:rFonts w:hint="eastAsia"/>
          <w:color w:val="auto"/>
          <w:highlight w:val="none"/>
        </w:rPr>
        <w:t>报价中，成交后不作任何调整，采购人将不再支付任何费用。</w:t>
      </w:r>
    </w:p>
    <w:p>
      <w:pPr>
        <w:widowControl/>
        <w:tabs>
          <w:tab w:val="left" w:pos="636"/>
        </w:tabs>
        <w:autoSpaceDE w:val="0"/>
        <w:autoSpaceDN w:val="0"/>
        <w:spacing w:line="360" w:lineRule="auto"/>
        <w:ind w:firstLine="480" w:firstLineChars="200"/>
        <w:jc w:val="left"/>
        <w:textAlignment w:val="bottom"/>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4、本项目不允许提交备选方案，不允许联合体响应、转包或分包。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Times New Roman" w:hAnsi="Times New Roman" w:eastAsia="宋体" w:cs="Times New Roman"/>
          <w:b/>
          <w:bCs w:val="0"/>
          <w:color w:val="auto"/>
          <w:kern w:val="2"/>
          <w:sz w:val="28"/>
          <w:szCs w:val="24"/>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Times New Roman" w:hAnsi="Times New Roman" w:eastAsia="宋体" w:cs="Times New Roman"/>
          <w:b w:val="0"/>
          <w:bCs/>
          <w:color w:val="auto"/>
          <w:kern w:val="2"/>
          <w:sz w:val="24"/>
          <w:szCs w:val="22"/>
          <w:highlight w:val="none"/>
          <w:lang w:val="en-US" w:eastAsia="zh-CN" w:bidi="ar-SA"/>
        </w:rPr>
      </w:pPr>
      <w:r>
        <w:rPr>
          <w:rFonts w:hint="eastAsia" w:ascii="Times New Roman" w:hAnsi="Times New Roman" w:eastAsia="宋体" w:cs="Times New Roman"/>
          <w:b/>
          <w:bCs w:val="0"/>
          <w:color w:val="auto"/>
          <w:kern w:val="2"/>
          <w:sz w:val="28"/>
          <w:szCs w:val="24"/>
          <w:highlight w:val="none"/>
          <w:lang w:val="en-US" w:eastAsia="zh-CN" w:bidi="ar-SA"/>
        </w:rPr>
        <w:t>一、项目名称：</w:t>
      </w:r>
      <w:r>
        <w:rPr>
          <w:rFonts w:hint="eastAsia" w:ascii="Times New Roman" w:hAnsi="Times New Roman" w:eastAsia="宋体" w:cs="Times New Roman"/>
          <w:b w:val="0"/>
          <w:bCs/>
          <w:color w:val="auto"/>
          <w:kern w:val="2"/>
          <w:sz w:val="24"/>
          <w:szCs w:val="22"/>
          <w:highlight w:val="none"/>
          <w:lang w:val="en-US" w:eastAsia="zh-CN" w:bidi="ar-SA"/>
        </w:rPr>
        <w:t>中山市黄圃人民医院妇科门诊床帘采购项目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Times New Roman" w:hAnsi="Times New Roman" w:eastAsia="宋体" w:cs="Times New Roman"/>
          <w:b/>
          <w:bCs w:val="0"/>
          <w:color w:val="auto"/>
          <w:kern w:val="2"/>
          <w:sz w:val="28"/>
          <w:szCs w:val="24"/>
          <w:highlight w:val="none"/>
          <w:lang w:val="en-US" w:eastAsia="zh-CN" w:bidi="ar-SA"/>
        </w:rPr>
      </w:pPr>
      <w:r>
        <w:rPr>
          <w:rFonts w:hint="eastAsia" w:ascii="Times New Roman" w:hAnsi="Times New Roman" w:eastAsia="宋体" w:cs="Times New Roman"/>
          <w:b/>
          <w:bCs w:val="0"/>
          <w:color w:val="auto"/>
          <w:kern w:val="2"/>
          <w:sz w:val="28"/>
          <w:szCs w:val="24"/>
          <w:highlight w:val="none"/>
          <w:lang w:val="en-US" w:eastAsia="zh-CN" w:bidi="ar-SA"/>
        </w:rPr>
        <w:t>二、项目内容及要求：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b w:val="0"/>
          <w:bCs/>
          <w:color w:val="auto"/>
          <w:kern w:val="2"/>
          <w:sz w:val="24"/>
          <w:szCs w:val="22"/>
          <w:highlight w:val="none"/>
          <w:lang w:val="en-US" w:eastAsia="zh-CN" w:bidi="ar-SA"/>
        </w:rPr>
      </w:pPr>
      <w:r>
        <w:rPr>
          <w:rFonts w:hint="eastAsia" w:ascii="Times New Roman" w:hAnsi="Times New Roman" w:eastAsia="宋体" w:cs="Times New Roman"/>
          <w:b w:val="0"/>
          <w:bCs/>
          <w:color w:val="auto"/>
          <w:kern w:val="2"/>
          <w:sz w:val="24"/>
          <w:szCs w:val="22"/>
          <w:highlight w:val="none"/>
          <w:lang w:val="en-US" w:eastAsia="zh-CN" w:bidi="ar-SA"/>
        </w:rPr>
        <w:t>1.采购内容：</w:t>
      </w:r>
    </w:p>
    <w:tbl>
      <w:tblPr>
        <w:tblStyle w:val="8"/>
        <w:tblW w:w="908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2505"/>
        <w:gridCol w:w="1050"/>
        <w:gridCol w:w="3145"/>
        <w:gridCol w:w="1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023" w:type="dxa"/>
            <w:vAlign w:val="center"/>
          </w:tcPr>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right="0" w:rightChars="0"/>
              <w:jc w:val="center"/>
              <w:textAlignment w:val="auto"/>
              <w:outlineLvl w:val="9"/>
              <w:rPr>
                <w:rStyle w:val="6"/>
                <w:rFonts w:hint="eastAsia" w:asciiTheme="minorEastAsia" w:hAnsiTheme="minorEastAsia" w:eastAsiaTheme="minorEastAsia" w:cstheme="minorEastAsia"/>
                <w:b/>
                <w:color w:val="auto"/>
                <w:sz w:val="24"/>
                <w:szCs w:val="24"/>
                <w:vertAlign w:val="baseline"/>
                <w:lang w:eastAsia="zh-CN"/>
              </w:rPr>
            </w:pPr>
            <w:r>
              <w:rPr>
                <w:rStyle w:val="6"/>
                <w:rFonts w:hint="eastAsia" w:asciiTheme="minorEastAsia" w:hAnsiTheme="minorEastAsia" w:cstheme="minorEastAsia"/>
                <w:b/>
                <w:color w:val="auto"/>
                <w:sz w:val="24"/>
                <w:szCs w:val="24"/>
                <w:vertAlign w:val="baseline"/>
                <w:lang w:eastAsia="zh-CN"/>
              </w:rPr>
              <w:t>名称</w:t>
            </w:r>
          </w:p>
        </w:tc>
        <w:tc>
          <w:tcPr>
            <w:tcW w:w="2505" w:type="dxa"/>
            <w:vAlign w:val="center"/>
          </w:tcPr>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right="0" w:rightChars="0"/>
              <w:jc w:val="center"/>
              <w:textAlignment w:val="auto"/>
              <w:outlineLvl w:val="9"/>
              <w:rPr>
                <w:rStyle w:val="6"/>
                <w:rFonts w:hint="eastAsia" w:asciiTheme="minorEastAsia" w:hAnsiTheme="minorEastAsia" w:eastAsiaTheme="minorEastAsia" w:cstheme="minorEastAsia"/>
                <w:b/>
                <w:color w:val="auto"/>
                <w:sz w:val="24"/>
                <w:szCs w:val="24"/>
                <w:vertAlign w:val="baseline"/>
                <w:lang w:eastAsia="zh-CN"/>
              </w:rPr>
            </w:pPr>
            <w:r>
              <w:rPr>
                <w:rStyle w:val="6"/>
                <w:rFonts w:hint="eastAsia" w:asciiTheme="minorEastAsia" w:hAnsiTheme="minorEastAsia" w:cstheme="minorEastAsia"/>
                <w:b/>
                <w:color w:val="auto"/>
                <w:sz w:val="24"/>
                <w:szCs w:val="24"/>
                <w:vertAlign w:val="baseline"/>
                <w:lang w:eastAsia="zh-CN"/>
              </w:rPr>
              <w:t>规格（厘米）</w:t>
            </w:r>
          </w:p>
        </w:tc>
        <w:tc>
          <w:tcPr>
            <w:tcW w:w="1050" w:type="dxa"/>
            <w:vAlign w:val="center"/>
          </w:tcPr>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right="0" w:rightChars="0"/>
              <w:jc w:val="center"/>
              <w:textAlignment w:val="auto"/>
              <w:outlineLvl w:val="9"/>
              <w:rPr>
                <w:rStyle w:val="6"/>
                <w:rFonts w:hint="eastAsia" w:asciiTheme="minorEastAsia" w:hAnsiTheme="minorEastAsia" w:eastAsiaTheme="minorEastAsia" w:cstheme="minorEastAsia"/>
                <w:b/>
                <w:color w:val="auto"/>
                <w:sz w:val="24"/>
                <w:szCs w:val="24"/>
                <w:vertAlign w:val="baseline"/>
                <w:lang w:eastAsia="zh-CN"/>
              </w:rPr>
            </w:pPr>
            <w:r>
              <w:rPr>
                <w:rStyle w:val="6"/>
                <w:rFonts w:hint="eastAsia" w:asciiTheme="minorEastAsia" w:hAnsiTheme="minorEastAsia" w:cstheme="minorEastAsia"/>
                <w:b/>
                <w:color w:val="auto"/>
                <w:sz w:val="24"/>
                <w:szCs w:val="24"/>
                <w:vertAlign w:val="baseline"/>
                <w:lang w:eastAsia="zh-CN"/>
              </w:rPr>
              <w:t>数量（幅）</w:t>
            </w:r>
          </w:p>
        </w:tc>
        <w:tc>
          <w:tcPr>
            <w:tcW w:w="3145" w:type="dxa"/>
            <w:vAlign w:val="center"/>
          </w:tcPr>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right="0" w:rightChars="0"/>
              <w:jc w:val="center"/>
              <w:textAlignment w:val="auto"/>
              <w:outlineLvl w:val="9"/>
              <w:rPr>
                <w:rStyle w:val="6"/>
                <w:rFonts w:hint="eastAsia" w:asciiTheme="minorEastAsia" w:hAnsiTheme="minorEastAsia" w:eastAsiaTheme="minorEastAsia" w:cstheme="minorEastAsia"/>
                <w:b/>
                <w:color w:val="auto"/>
                <w:sz w:val="24"/>
                <w:szCs w:val="24"/>
                <w:vertAlign w:val="baseline"/>
                <w:lang w:eastAsia="zh-CN"/>
              </w:rPr>
            </w:pPr>
            <w:r>
              <w:rPr>
                <w:rStyle w:val="6"/>
                <w:rFonts w:hint="eastAsia" w:asciiTheme="minorEastAsia" w:hAnsiTheme="minorEastAsia" w:cstheme="minorEastAsia"/>
                <w:b/>
                <w:color w:val="auto"/>
                <w:sz w:val="24"/>
                <w:szCs w:val="24"/>
                <w:vertAlign w:val="baseline"/>
                <w:lang w:eastAsia="zh-CN"/>
              </w:rPr>
              <w:t>参数要求</w:t>
            </w:r>
          </w:p>
        </w:tc>
        <w:tc>
          <w:tcPr>
            <w:tcW w:w="1361" w:type="dxa"/>
            <w:vAlign w:val="center"/>
          </w:tcPr>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right="0" w:rightChars="0"/>
              <w:jc w:val="both"/>
              <w:textAlignment w:val="auto"/>
              <w:outlineLvl w:val="9"/>
              <w:rPr>
                <w:rStyle w:val="6"/>
                <w:rFonts w:hint="eastAsia" w:asciiTheme="minorEastAsia" w:hAnsiTheme="minorEastAsia" w:cstheme="minorEastAsia"/>
                <w:b/>
                <w:color w:val="auto"/>
                <w:sz w:val="24"/>
                <w:szCs w:val="24"/>
                <w:vertAlign w:val="baseline"/>
                <w:lang w:eastAsia="zh-CN"/>
              </w:rPr>
            </w:pPr>
            <w:r>
              <w:rPr>
                <w:rStyle w:val="6"/>
                <w:rFonts w:hint="eastAsia" w:asciiTheme="minorEastAsia" w:hAnsiTheme="minorEastAsia" w:cstheme="minorEastAsia"/>
                <w:b/>
                <w:color w:val="auto"/>
                <w:sz w:val="24"/>
                <w:szCs w:val="24"/>
                <w:vertAlign w:val="baseline"/>
                <w:lang w:eastAsia="zh-CN"/>
              </w:rPr>
              <w:t>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4" w:hRule="atLeast"/>
          <w:jc w:val="center"/>
        </w:trPr>
        <w:tc>
          <w:tcPr>
            <w:tcW w:w="1023" w:type="dxa"/>
            <w:vMerge w:val="restart"/>
            <w:vAlign w:val="center"/>
          </w:tcPr>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right="0" w:rightChars="0"/>
              <w:jc w:val="center"/>
              <w:textAlignment w:val="auto"/>
              <w:outlineLvl w:val="9"/>
              <w:rPr>
                <w:rStyle w:val="6"/>
                <w:rFonts w:hint="eastAsia" w:asciiTheme="minorEastAsia" w:hAnsiTheme="minorEastAsia" w:eastAsiaTheme="minorEastAsia" w:cstheme="minorEastAsia"/>
                <w:b w:val="0"/>
                <w:bCs/>
                <w:color w:val="auto"/>
                <w:sz w:val="24"/>
                <w:szCs w:val="24"/>
                <w:vertAlign w:val="baseline"/>
                <w:lang w:eastAsia="zh-CN"/>
              </w:rPr>
            </w:pPr>
            <w:r>
              <w:rPr>
                <w:rStyle w:val="6"/>
                <w:rFonts w:hint="eastAsia" w:asciiTheme="minorEastAsia" w:hAnsiTheme="minorEastAsia" w:cstheme="minorEastAsia"/>
                <w:b w:val="0"/>
                <w:bCs/>
                <w:color w:val="auto"/>
                <w:sz w:val="24"/>
                <w:szCs w:val="24"/>
                <w:vertAlign w:val="baseline"/>
                <w:lang w:eastAsia="zh-CN"/>
              </w:rPr>
              <w:t>床帘</w:t>
            </w:r>
          </w:p>
        </w:tc>
        <w:tc>
          <w:tcPr>
            <w:tcW w:w="2505" w:type="dxa"/>
            <w:vAlign w:val="center"/>
          </w:tcPr>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right="0" w:rightChars="0" w:firstLine="240" w:firstLineChars="100"/>
              <w:jc w:val="left"/>
              <w:textAlignment w:val="auto"/>
              <w:outlineLvl w:val="9"/>
              <w:rPr>
                <w:rStyle w:val="6"/>
                <w:rFonts w:hint="eastAsia" w:asciiTheme="minorEastAsia" w:hAnsiTheme="minorEastAsia" w:eastAsiaTheme="minorEastAsia" w:cstheme="minorEastAsia"/>
                <w:b w:val="0"/>
                <w:bCs/>
                <w:color w:val="auto"/>
                <w:sz w:val="24"/>
                <w:szCs w:val="24"/>
                <w:vertAlign w:val="baseline"/>
                <w:lang w:val="en-US" w:eastAsia="zh-CN"/>
              </w:rPr>
            </w:pPr>
            <w:r>
              <w:rPr>
                <w:rStyle w:val="6"/>
                <w:rFonts w:hint="eastAsia" w:asciiTheme="minorEastAsia" w:hAnsiTheme="minorEastAsia" w:cstheme="minorEastAsia"/>
                <w:b w:val="0"/>
                <w:bCs/>
                <w:color w:val="auto"/>
                <w:sz w:val="24"/>
                <w:szCs w:val="24"/>
                <w:vertAlign w:val="baseline"/>
                <w:lang w:val="en-US" w:eastAsia="zh-CN"/>
              </w:rPr>
              <w:t>1.宽220*高220</w:t>
            </w:r>
          </w:p>
        </w:tc>
        <w:tc>
          <w:tcPr>
            <w:tcW w:w="1050" w:type="dxa"/>
            <w:vAlign w:val="center"/>
          </w:tcPr>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right="0" w:rightChars="0"/>
              <w:jc w:val="center"/>
              <w:textAlignment w:val="auto"/>
              <w:outlineLvl w:val="9"/>
              <w:rPr>
                <w:rStyle w:val="6"/>
                <w:rFonts w:hint="eastAsia" w:asciiTheme="minorEastAsia" w:hAnsiTheme="minorEastAsia" w:cstheme="minorEastAsia"/>
                <w:b w:val="0"/>
                <w:bCs/>
                <w:color w:val="auto"/>
                <w:sz w:val="24"/>
                <w:szCs w:val="24"/>
                <w:vertAlign w:val="baseline"/>
                <w:lang w:val="en-US" w:eastAsia="zh-CN"/>
              </w:rPr>
            </w:pPr>
            <w:r>
              <w:rPr>
                <w:rStyle w:val="6"/>
                <w:rFonts w:hint="eastAsia" w:asciiTheme="minorEastAsia" w:hAnsiTheme="minorEastAsia" w:cstheme="minorEastAsia"/>
                <w:b w:val="0"/>
                <w:bCs/>
                <w:color w:val="auto"/>
                <w:sz w:val="24"/>
                <w:szCs w:val="24"/>
                <w:vertAlign w:val="baseline"/>
                <w:lang w:val="en-US" w:eastAsia="zh-CN"/>
              </w:rPr>
              <w:t>10</w:t>
            </w:r>
          </w:p>
        </w:tc>
        <w:tc>
          <w:tcPr>
            <w:tcW w:w="3145" w:type="dxa"/>
            <w:vMerge w:val="restart"/>
            <w:vAlign w:val="center"/>
          </w:tcPr>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right="0" w:rightChars="0"/>
              <w:jc w:val="both"/>
              <w:textAlignment w:val="auto"/>
              <w:outlineLvl w:val="9"/>
              <w:rPr>
                <w:rStyle w:val="6"/>
                <w:rFonts w:hint="eastAsia" w:asciiTheme="minorEastAsia" w:hAnsiTheme="minorEastAsia" w:eastAsiaTheme="minorEastAsia" w:cstheme="minorEastAsia"/>
                <w:b w:val="0"/>
                <w:bCs/>
                <w:color w:val="auto"/>
                <w:sz w:val="24"/>
                <w:szCs w:val="24"/>
                <w:vertAlign w:val="baseline"/>
              </w:rPr>
            </w:pPr>
            <w:r>
              <w:rPr>
                <w:rFonts w:hint="eastAsia"/>
                <w:color w:val="auto"/>
                <w:highlight w:val="none"/>
              </w:rPr>
              <w:t>★</w:t>
            </w:r>
            <w:r>
              <w:rPr>
                <w:rStyle w:val="6"/>
                <w:rFonts w:hint="eastAsia" w:asciiTheme="minorEastAsia" w:hAnsiTheme="minorEastAsia" w:eastAsiaTheme="minorEastAsia" w:cstheme="minorEastAsia"/>
                <w:b w:val="0"/>
                <w:bCs/>
                <w:color w:val="auto"/>
                <w:sz w:val="24"/>
                <w:szCs w:val="24"/>
                <w:vertAlign w:val="baseline"/>
              </w:rPr>
              <w:t>1.材质</w:t>
            </w:r>
            <w:r>
              <w:rPr>
                <w:rStyle w:val="6"/>
                <w:rFonts w:hint="eastAsia" w:asciiTheme="minorEastAsia" w:hAnsiTheme="minorEastAsia" w:cstheme="minorEastAsia"/>
                <w:b w:val="0"/>
                <w:bCs/>
                <w:color w:val="auto"/>
                <w:sz w:val="24"/>
                <w:szCs w:val="24"/>
                <w:vertAlign w:val="baseline"/>
                <w:lang w:eastAsia="zh-CN"/>
              </w:rPr>
              <w:t>：</w:t>
            </w:r>
            <w:r>
              <w:rPr>
                <w:rStyle w:val="6"/>
                <w:rFonts w:hint="eastAsia" w:asciiTheme="minorEastAsia" w:hAnsiTheme="minorEastAsia" w:eastAsiaTheme="minorEastAsia" w:cstheme="minorEastAsia"/>
                <w:b w:val="0"/>
                <w:bCs/>
                <w:color w:val="auto"/>
                <w:sz w:val="24"/>
                <w:szCs w:val="24"/>
                <w:vertAlign w:val="baseline"/>
              </w:rPr>
              <w:t>防尘、防污、防水科技、环保布</w:t>
            </w:r>
            <w:r>
              <w:rPr>
                <w:rStyle w:val="6"/>
                <w:rFonts w:hint="eastAsia" w:asciiTheme="minorEastAsia" w:hAnsiTheme="minorEastAsia" w:cstheme="minorEastAsia"/>
                <w:b w:val="0"/>
                <w:bCs/>
                <w:color w:val="auto"/>
                <w:sz w:val="24"/>
                <w:szCs w:val="24"/>
                <w:vertAlign w:val="baseline"/>
                <w:lang w:eastAsia="zh-CN"/>
              </w:rPr>
              <w:t>料；</w:t>
            </w:r>
          </w:p>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right="0" w:rightChars="0"/>
              <w:jc w:val="both"/>
              <w:textAlignment w:val="auto"/>
              <w:outlineLvl w:val="9"/>
              <w:rPr>
                <w:rStyle w:val="6"/>
                <w:rFonts w:hint="eastAsia" w:asciiTheme="minorEastAsia" w:hAnsiTheme="minorEastAsia" w:eastAsiaTheme="minorEastAsia" w:cstheme="minorEastAsia"/>
                <w:b w:val="0"/>
                <w:bCs/>
                <w:color w:val="auto"/>
                <w:sz w:val="24"/>
                <w:szCs w:val="24"/>
                <w:vertAlign w:val="baseline"/>
              </w:rPr>
            </w:pPr>
            <w:r>
              <w:rPr>
                <w:rStyle w:val="6"/>
                <w:rFonts w:hint="eastAsia" w:asciiTheme="minorEastAsia" w:hAnsiTheme="minorEastAsia" w:cstheme="minorEastAsia"/>
                <w:b w:val="0"/>
                <w:bCs/>
                <w:color w:val="auto"/>
                <w:sz w:val="24"/>
                <w:szCs w:val="24"/>
                <w:vertAlign w:val="baseline"/>
                <w:lang w:val="en-US" w:eastAsia="zh-CN"/>
              </w:rPr>
              <w:t>2</w:t>
            </w:r>
            <w:r>
              <w:rPr>
                <w:rStyle w:val="6"/>
                <w:rFonts w:hint="eastAsia" w:asciiTheme="minorEastAsia" w:hAnsiTheme="minorEastAsia" w:eastAsiaTheme="minorEastAsia" w:cstheme="minorEastAsia"/>
                <w:b w:val="0"/>
                <w:bCs/>
                <w:color w:val="auto"/>
                <w:sz w:val="24"/>
                <w:szCs w:val="24"/>
                <w:vertAlign w:val="baseline"/>
              </w:rPr>
              <w:t>.布料、布头带(含钩)按</w:t>
            </w:r>
            <w:r>
              <w:rPr>
                <w:rStyle w:val="6"/>
                <w:rFonts w:hint="eastAsia" w:asciiTheme="minorEastAsia" w:hAnsiTheme="minorEastAsia" w:cstheme="minorEastAsia"/>
                <w:b w:val="0"/>
                <w:bCs/>
                <w:color w:val="auto"/>
                <w:sz w:val="24"/>
                <w:szCs w:val="24"/>
                <w:vertAlign w:val="baseline"/>
                <w:lang w:val="en-US" w:eastAsia="zh-CN"/>
              </w:rPr>
              <w:t>1.8</w:t>
            </w:r>
            <w:r>
              <w:rPr>
                <w:rStyle w:val="6"/>
                <w:rFonts w:hint="eastAsia" w:asciiTheme="minorEastAsia" w:hAnsiTheme="minorEastAsia" w:eastAsiaTheme="minorEastAsia" w:cstheme="minorEastAsia"/>
                <w:b w:val="0"/>
                <w:bCs/>
                <w:color w:val="auto"/>
                <w:sz w:val="24"/>
                <w:szCs w:val="24"/>
                <w:vertAlign w:val="baseline"/>
              </w:rPr>
              <w:t>倍计算</w:t>
            </w:r>
            <w:r>
              <w:rPr>
                <w:rStyle w:val="6"/>
                <w:rFonts w:hint="eastAsia" w:asciiTheme="minorEastAsia" w:hAnsiTheme="minorEastAsia" w:cstheme="minorEastAsia"/>
                <w:b w:val="0"/>
                <w:bCs/>
                <w:color w:val="auto"/>
                <w:sz w:val="24"/>
                <w:szCs w:val="24"/>
                <w:vertAlign w:val="baseline"/>
                <w:lang w:eastAsia="zh-CN"/>
              </w:rPr>
              <w:t>。</w:t>
            </w:r>
          </w:p>
        </w:tc>
        <w:tc>
          <w:tcPr>
            <w:tcW w:w="1361" w:type="dxa"/>
            <w:vMerge w:val="restart"/>
            <w:vAlign w:val="center"/>
          </w:tcPr>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right="0" w:rightChars="0"/>
              <w:jc w:val="center"/>
              <w:textAlignment w:val="auto"/>
              <w:outlineLvl w:val="9"/>
              <w:rPr>
                <w:rStyle w:val="6"/>
                <w:rFonts w:hint="eastAsia" w:asciiTheme="minorEastAsia" w:hAnsiTheme="minorEastAsia" w:eastAsiaTheme="minorEastAsia" w:cstheme="minorEastAsia"/>
                <w:b w:val="0"/>
                <w:bCs/>
                <w:color w:val="auto"/>
                <w:sz w:val="24"/>
                <w:szCs w:val="24"/>
                <w:vertAlign w:val="baseline"/>
                <w:lang w:eastAsia="zh-CN"/>
              </w:rPr>
            </w:pPr>
            <w:r>
              <w:rPr>
                <w:rStyle w:val="6"/>
                <w:rFonts w:hint="eastAsia" w:asciiTheme="minorEastAsia" w:hAnsiTheme="minorEastAsia" w:cstheme="minorEastAsia"/>
                <w:b w:val="0"/>
                <w:bCs/>
                <w:color w:val="auto"/>
                <w:sz w:val="24"/>
                <w:szCs w:val="24"/>
                <w:vertAlign w:val="baseline"/>
                <w:lang w:eastAsia="zh-CN"/>
              </w:rPr>
              <w:t>妇科门诊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1023" w:type="dxa"/>
            <w:vMerge w:val="continue"/>
            <w:vAlign w:val="center"/>
          </w:tcPr>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right="0" w:rightChars="0"/>
              <w:jc w:val="center"/>
              <w:textAlignment w:val="auto"/>
              <w:outlineLvl w:val="9"/>
            </w:pPr>
          </w:p>
        </w:tc>
        <w:tc>
          <w:tcPr>
            <w:tcW w:w="2505" w:type="dxa"/>
            <w:vAlign w:val="center"/>
          </w:tcPr>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right="0" w:rightChars="0"/>
              <w:jc w:val="center"/>
              <w:textAlignment w:val="auto"/>
              <w:outlineLvl w:val="9"/>
              <w:rPr>
                <w:rStyle w:val="6"/>
                <w:rFonts w:hint="eastAsia" w:asciiTheme="minorEastAsia" w:hAnsiTheme="minorEastAsia" w:cstheme="minorEastAsia"/>
                <w:b w:val="0"/>
                <w:bCs/>
                <w:color w:val="auto"/>
                <w:sz w:val="24"/>
                <w:szCs w:val="24"/>
                <w:vertAlign w:val="baseline"/>
                <w:lang w:val="en-US" w:eastAsia="zh-CN"/>
              </w:rPr>
            </w:pPr>
            <w:r>
              <w:rPr>
                <w:rStyle w:val="6"/>
                <w:rFonts w:hint="eastAsia" w:asciiTheme="minorEastAsia" w:hAnsiTheme="minorEastAsia" w:cstheme="minorEastAsia"/>
                <w:b w:val="0"/>
                <w:bCs/>
                <w:color w:val="auto"/>
                <w:sz w:val="24"/>
                <w:szCs w:val="24"/>
                <w:vertAlign w:val="baseline"/>
                <w:lang w:val="en-US" w:eastAsia="zh-CN"/>
              </w:rPr>
              <w:t>2.宽135*高220</w:t>
            </w:r>
          </w:p>
        </w:tc>
        <w:tc>
          <w:tcPr>
            <w:tcW w:w="1050" w:type="dxa"/>
            <w:vAlign w:val="center"/>
          </w:tcPr>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right="0" w:rightChars="0"/>
              <w:jc w:val="center"/>
              <w:textAlignment w:val="auto"/>
              <w:outlineLvl w:val="9"/>
              <w:rPr>
                <w:rStyle w:val="6"/>
                <w:rFonts w:hint="eastAsia" w:asciiTheme="minorEastAsia" w:hAnsiTheme="minorEastAsia" w:cstheme="minorEastAsia"/>
                <w:b w:val="0"/>
                <w:bCs/>
                <w:color w:val="auto"/>
                <w:sz w:val="24"/>
                <w:szCs w:val="24"/>
                <w:vertAlign w:val="baseline"/>
                <w:lang w:val="en-US" w:eastAsia="zh-CN"/>
              </w:rPr>
            </w:pPr>
            <w:r>
              <w:rPr>
                <w:rStyle w:val="6"/>
                <w:rFonts w:hint="eastAsia" w:asciiTheme="minorEastAsia" w:hAnsiTheme="minorEastAsia" w:cstheme="minorEastAsia"/>
                <w:b w:val="0"/>
                <w:bCs/>
                <w:color w:val="auto"/>
                <w:sz w:val="24"/>
                <w:szCs w:val="24"/>
                <w:vertAlign w:val="baseline"/>
                <w:lang w:val="en-US" w:eastAsia="zh-CN"/>
              </w:rPr>
              <w:t>1</w:t>
            </w:r>
          </w:p>
        </w:tc>
        <w:tc>
          <w:tcPr>
            <w:tcW w:w="3145" w:type="dxa"/>
            <w:vMerge w:val="continue"/>
            <w:vAlign w:val="center"/>
          </w:tcPr>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right="0" w:rightChars="0"/>
              <w:jc w:val="center"/>
              <w:textAlignment w:val="auto"/>
              <w:outlineLvl w:val="9"/>
              <w:rPr>
                <w:rStyle w:val="6"/>
                <w:rFonts w:hint="eastAsia" w:asciiTheme="minorEastAsia" w:hAnsiTheme="minorEastAsia" w:cstheme="minorEastAsia"/>
                <w:b w:val="0"/>
                <w:bCs/>
                <w:color w:val="auto"/>
                <w:sz w:val="24"/>
                <w:szCs w:val="24"/>
                <w:vertAlign w:val="baseline"/>
                <w:lang w:val="en-US" w:eastAsia="zh-CN"/>
              </w:rPr>
            </w:pPr>
          </w:p>
        </w:tc>
        <w:tc>
          <w:tcPr>
            <w:tcW w:w="1361" w:type="dxa"/>
            <w:vMerge w:val="continue"/>
            <w:vAlign w:val="center"/>
          </w:tcPr>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right="0" w:rightChars="0"/>
              <w:jc w:val="center"/>
              <w:textAlignment w:val="auto"/>
              <w:outlineLvl w:val="9"/>
              <w:rPr>
                <w:rStyle w:val="6"/>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jc w:val="center"/>
        </w:trPr>
        <w:tc>
          <w:tcPr>
            <w:tcW w:w="1023" w:type="dxa"/>
            <w:vMerge w:val="continue"/>
            <w:vAlign w:val="center"/>
          </w:tcPr>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right="0" w:rightChars="0"/>
              <w:jc w:val="center"/>
              <w:textAlignment w:val="auto"/>
              <w:outlineLvl w:val="9"/>
              <w:rPr>
                <w:rStyle w:val="6"/>
                <w:rFonts w:hint="eastAsia" w:asciiTheme="minorEastAsia" w:hAnsiTheme="minorEastAsia" w:cstheme="minorEastAsia"/>
                <w:b w:val="0"/>
                <w:bCs/>
                <w:color w:val="auto"/>
                <w:sz w:val="24"/>
                <w:szCs w:val="24"/>
                <w:vertAlign w:val="baseline"/>
                <w:lang w:val="en-US" w:eastAsia="zh-CN"/>
              </w:rPr>
            </w:pPr>
          </w:p>
        </w:tc>
        <w:tc>
          <w:tcPr>
            <w:tcW w:w="2505" w:type="dxa"/>
            <w:vAlign w:val="center"/>
          </w:tcPr>
          <w:p>
            <w:pPr>
              <w:pStyle w:val="4"/>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jc w:val="center"/>
              <w:textAlignment w:val="auto"/>
              <w:outlineLvl w:val="9"/>
              <w:rPr>
                <w:rStyle w:val="6"/>
                <w:rFonts w:hint="eastAsia" w:asciiTheme="minorEastAsia" w:hAnsiTheme="minorEastAsia" w:cstheme="minorEastAsia"/>
                <w:b w:val="0"/>
                <w:bCs/>
                <w:color w:val="auto"/>
                <w:sz w:val="24"/>
                <w:szCs w:val="24"/>
                <w:vertAlign w:val="baseline"/>
                <w:lang w:val="en-US" w:eastAsia="zh-CN"/>
              </w:rPr>
            </w:pPr>
            <w:r>
              <w:rPr>
                <w:rStyle w:val="6"/>
                <w:rFonts w:hint="eastAsia" w:asciiTheme="minorEastAsia" w:hAnsiTheme="minorEastAsia" w:cstheme="minorEastAsia"/>
                <w:b w:val="0"/>
                <w:bCs/>
                <w:color w:val="auto"/>
                <w:sz w:val="24"/>
                <w:szCs w:val="24"/>
                <w:vertAlign w:val="baseline"/>
                <w:lang w:val="en-US" w:eastAsia="zh-CN"/>
              </w:rPr>
              <w:t>宽350*高220</w:t>
            </w:r>
          </w:p>
        </w:tc>
        <w:tc>
          <w:tcPr>
            <w:tcW w:w="1050" w:type="dxa"/>
            <w:vAlign w:val="center"/>
          </w:tcPr>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right="0" w:rightChars="0"/>
              <w:jc w:val="center"/>
              <w:textAlignment w:val="auto"/>
              <w:outlineLvl w:val="9"/>
              <w:rPr>
                <w:rStyle w:val="6"/>
                <w:rFonts w:hint="eastAsia" w:asciiTheme="minorEastAsia" w:hAnsiTheme="minorEastAsia" w:cstheme="minorEastAsia"/>
                <w:b w:val="0"/>
                <w:bCs/>
                <w:color w:val="auto"/>
                <w:sz w:val="24"/>
                <w:szCs w:val="24"/>
                <w:vertAlign w:val="baseline"/>
                <w:lang w:val="en-US" w:eastAsia="zh-CN"/>
              </w:rPr>
            </w:pPr>
            <w:r>
              <w:rPr>
                <w:rStyle w:val="6"/>
                <w:rFonts w:hint="eastAsia" w:asciiTheme="minorEastAsia" w:hAnsiTheme="minorEastAsia" w:cstheme="minorEastAsia"/>
                <w:b w:val="0"/>
                <w:bCs/>
                <w:color w:val="auto"/>
                <w:sz w:val="24"/>
                <w:szCs w:val="24"/>
                <w:vertAlign w:val="baseline"/>
                <w:lang w:val="en-US" w:eastAsia="zh-CN"/>
              </w:rPr>
              <w:t>1</w:t>
            </w:r>
          </w:p>
        </w:tc>
        <w:tc>
          <w:tcPr>
            <w:tcW w:w="3145" w:type="dxa"/>
            <w:vMerge w:val="continue"/>
            <w:vAlign w:val="center"/>
          </w:tcPr>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right="0" w:rightChars="0"/>
              <w:jc w:val="center"/>
              <w:textAlignment w:val="auto"/>
              <w:outlineLvl w:val="9"/>
              <w:rPr>
                <w:rStyle w:val="6"/>
                <w:rFonts w:hint="eastAsia" w:asciiTheme="minorEastAsia" w:hAnsiTheme="minorEastAsia" w:cstheme="minorEastAsia"/>
                <w:b w:val="0"/>
                <w:bCs/>
                <w:color w:val="auto"/>
                <w:sz w:val="24"/>
                <w:szCs w:val="24"/>
                <w:vertAlign w:val="baseline"/>
                <w:lang w:val="en-US" w:eastAsia="zh-CN"/>
              </w:rPr>
            </w:pPr>
          </w:p>
        </w:tc>
        <w:tc>
          <w:tcPr>
            <w:tcW w:w="1361" w:type="dxa"/>
            <w:vMerge w:val="continue"/>
            <w:vAlign w:val="center"/>
          </w:tcPr>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right="0" w:rightChars="0"/>
              <w:jc w:val="center"/>
              <w:textAlignment w:val="auto"/>
              <w:outlineLvl w:val="9"/>
              <w:rPr>
                <w:rStyle w:val="6"/>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jc w:val="center"/>
        </w:trPr>
        <w:tc>
          <w:tcPr>
            <w:tcW w:w="1023" w:type="dxa"/>
            <w:vMerge w:val="continue"/>
            <w:vAlign w:val="center"/>
          </w:tcPr>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right="0" w:rightChars="0"/>
              <w:jc w:val="center"/>
              <w:textAlignment w:val="auto"/>
              <w:outlineLvl w:val="9"/>
              <w:rPr>
                <w:rStyle w:val="6"/>
                <w:rFonts w:hint="eastAsia" w:asciiTheme="minorEastAsia" w:hAnsiTheme="minorEastAsia" w:cstheme="minorEastAsia"/>
                <w:b w:val="0"/>
                <w:bCs/>
                <w:color w:val="auto"/>
                <w:sz w:val="24"/>
                <w:szCs w:val="24"/>
                <w:vertAlign w:val="baseline"/>
                <w:lang w:val="en-US" w:eastAsia="zh-CN"/>
              </w:rPr>
            </w:pPr>
          </w:p>
        </w:tc>
        <w:tc>
          <w:tcPr>
            <w:tcW w:w="2505" w:type="dxa"/>
            <w:vAlign w:val="center"/>
          </w:tcPr>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right="0" w:rightChars="0"/>
              <w:jc w:val="center"/>
              <w:textAlignment w:val="auto"/>
              <w:outlineLvl w:val="9"/>
              <w:rPr>
                <w:rStyle w:val="6"/>
                <w:rFonts w:hint="eastAsia" w:asciiTheme="minorEastAsia" w:hAnsiTheme="minorEastAsia" w:cstheme="minorEastAsia"/>
                <w:b w:val="0"/>
                <w:bCs/>
                <w:color w:val="auto"/>
                <w:sz w:val="24"/>
                <w:szCs w:val="24"/>
                <w:vertAlign w:val="baseline"/>
                <w:lang w:val="en-US" w:eastAsia="zh-CN"/>
              </w:rPr>
            </w:pPr>
            <w:r>
              <w:rPr>
                <w:rStyle w:val="6"/>
                <w:rFonts w:hint="eastAsia" w:asciiTheme="minorEastAsia" w:hAnsiTheme="minorEastAsia" w:cstheme="minorEastAsia"/>
                <w:b w:val="0"/>
                <w:bCs/>
                <w:color w:val="auto"/>
                <w:sz w:val="24"/>
                <w:szCs w:val="24"/>
                <w:vertAlign w:val="baseline"/>
                <w:lang w:val="en-US" w:eastAsia="zh-CN"/>
              </w:rPr>
              <w:t>4.宽270*高220</w:t>
            </w:r>
          </w:p>
        </w:tc>
        <w:tc>
          <w:tcPr>
            <w:tcW w:w="1050" w:type="dxa"/>
            <w:vAlign w:val="center"/>
          </w:tcPr>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right="0" w:rightChars="0"/>
              <w:jc w:val="center"/>
              <w:textAlignment w:val="auto"/>
              <w:outlineLvl w:val="9"/>
              <w:rPr>
                <w:rStyle w:val="6"/>
                <w:rFonts w:hint="eastAsia" w:asciiTheme="minorEastAsia" w:hAnsiTheme="minorEastAsia" w:cstheme="minorEastAsia"/>
                <w:b w:val="0"/>
                <w:bCs/>
                <w:color w:val="auto"/>
                <w:sz w:val="24"/>
                <w:szCs w:val="24"/>
                <w:vertAlign w:val="baseline"/>
                <w:lang w:val="en-US" w:eastAsia="zh-CN"/>
              </w:rPr>
            </w:pPr>
            <w:r>
              <w:rPr>
                <w:rStyle w:val="6"/>
                <w:rFonts w:hint="eastAsia" w:asciiTheme="minorEastAsia" w:hAnsiTheme="minorEastAsia" w:cstheme="minorEastAsia"/>
                <w:b w:val="0"/>
                <w:bCs/>
                <w:color w:val="auto"/>
                <w:sz w:val="24"/>
                <w:szCs w:val="24"/>
                <w:vertAlign w:val="baseline"/>
                <w:lang w:val="en-US" w:eastAsia="zh-CN"/>
              </w:rPr>
              <w:t>1</w:t>
            </w:r>
          </w:p>
        </w:tc>
        <w:tc>
          <w:tcPr>
            <w:tcW w:w="3145" w:type="dxa"/>
            <w:vMerge w:val="continue"/>
            <w:vAlign w:val="center"/>
          </w:tcPr>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right="0" w:rightChars="0"/>
              <w:jc w:val="center"/>
              <w:textAlignment w:val="auto"/>
              <w:outlineLvl w:val="9"/>
              <w:rPr>
                <w:rStyle w:val="6"/>
                <w:rFonts w:hint="eastAsia" w:asciiTheme="minorEastAsia" w:hAnsiTheme="minorEastAsia" w:cstheme="minorEastAsia"/>
                <w:b w:val="0"/>
                <w:bCs/>
                <w:color w:val="auto"/>
                <w:sz w:val="24"/>
                <w:szCs w:val="24"/>
                <w:vertAlign w:val="baseline"/>
                <w:lang w:val="en-US" w:eastAsia="zh-CN"/>
              </w:rPr>
            </w:pPr>
          </w:p>
        </w:tc>
        <w:tc>
          <w:tcPr>
            <w:tcW w:w="1361" w:type="dxa"/>
            <w:vMerge w:val="continue"/>
            <w:vAlign w:val="center"/>
          </w:tcPr>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right="0" w:rightChars="0"/>
              <w:jc w:val="center"/>
              <w:textAlignment w:val="auto"/>
              <w:outlineLvl w:val="9"/>
              <w:rPr>
                <w:rStyle w:val="6"/>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jc w:val="center"/>
        </w:trPr>
        <w:tc>
          <w:tcPr>
            <w:tcW w:w="1023" w:type="dxa"/>
            <w:vMerge w:val="continue"/>
            <w:vAlign w:val="center"/>
          </w:tcPr>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right="0" w:rightChars="0"/>
              <w:jc w:val="center"/>
              <w:textAlignment w:val="auto"/>
              <w:outlineLvl w:val="9"/>
              <w:rPr>
                <w:rStyle w:val="6"/>
                <w:rFonts w:hint="eastAsia" w:asciiTheme="minorEastAsia" w:hAnsiTheme="minorEastAsia" w:cstheme="minorEastAsia"/>
                <w:b w:val="0"/>
                <w:bCs/>
                <w:color w:val="auto"/>
                <w:sz w:val="24"/>
                <w:szCs w:val="24"/>
                <w:vertAlign w:val="baseline"/>
                <w:lang w:val="en-US" w:eastAsia="zh-CN"/>
              </w:rPr>
            </w:pPr>
          </w:p>
        </w:tc>
        <w:tc>
          <w:tcPr>
            <w:tcW w:w="2505" w:type="dxa"/>
            <w:vAlign w:val="center"/>
          </w:tcPr>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right="0" w:rightChars="0"/>
              <w:jc w:val="center"/>
              <w:textAlignment w:val="auto"/>
              <w:outlineLvl w:val="9"/>
              <w:rPr>
                <w:rStyle w:val="6"/>
                <w:rFonts w:hint="eastAsia" w:asciiTheme="minorEastAsia" w:hAnsiTheme="minorEastAsia" w:cstheme="minorEastAsia"/>
                <w:b w:val="0"/>
                <w:bCs/>
                <w:color w:val="auto"/>
                <w:sz w:val="24"/>
                <w:szCs w:val="24"/>
                <w:vertAlign w:val="baseline"/>
                <w:lang w:val="en-US" w:eastAsia="zh-CN"/>
              </w:rPr>
            </w:pPr>
            <w:r>
              <w:rPr>
                <w:rStyle w:val="6"/>
                <w:rFonts w:hint="eastAsia" w:asciiTheme="minorEastAsia" w:hAnsiTheme="minorEastAsia" w:cstheme="minorEastAsia"/>
                <w:b w:val="0"/>
                <w:bCs/>
                <w:color w:val="auto"/>
                <w:sz w:val="24"/>
                <w:szCs w:val="24"/>
                <w:vertAlign w:val="baseline"/>
                <w:lang w:val="en-US" w:eastAsia="zh-CN"/>
              </w:rPr>
              <w:t>5.宽310*高220</w:t>
            </w:r>
          </w:p>
        </w:tc>
        <w:tc>
          <w:tcPr>
            <w:tcW w:w="1050" w:type="dxa"/>
            <w:vAlign w:val="center"/>
          </w:tcPr>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right="0" w:rightChars="0"/>
              <w:jc w:val="center"/>
              <w:textAlignment w:val="auto"/>
              <w:outlineLvl w:val="9"/>
              <w:rPr>
                <w:rStyle w:val="6"/>
                <w:rFonts w:hint="eastAsia" w:asciiTheme="minorEastAsia" w:hAnsiTheme="minorEastAsia" w:cstheme="minorEastAsia"/>
                <w:b w:val="0"/>
                <w:bCs/>
                <w:color w:val="auto"/>
                <w:sz w:val="24"/>
                <w:szCs w:val="24"/>
                <w:vertAlign w:val="baseline"/>
                <w:lang w:val="en-US" w:eastAsia="zh-CN"/>
              </w:rPr>
            </w:pPr>
            <w:r>
              <w:rPr>
                <w:rStyle w:val="6"/>
                <w:rFonts w:hint="eastAsia" w:asciiTheme="minorEastAsia" w:hAnsiTheme="minorEastAsia" w:cstheme="minorEastAsia"/>
                <w:b w:val="0"/>
                <w:bCs/>
                <w:color w:val="auto"/>
                <w:sz w:val="24"/>
                <w:szCs w:val="24"/>
                <w:vertAlign w:val="baseline"/>
                <w:lang w:val="en-US" w:eastAsia="zh-CN"/>
              </w:rPr>
              <w:t>1</w:t>
            </w:r>
          </w:p>
        </w:tc>
        <w:tc>
          <w:tcPr>
            <w:tcW w:w="3145" w:type="dxa"/>
            <w:vMerge w:val="continue"/>
            <w:vAlign w:val="center"/>
          </w:tcPr>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right="0" w:rightChars="0"/>
              <w:jc w:val="center"/>
              <w:textAlignment w:val="auto"/>
              <w:outlineLvl w:val="9"/>
              <w:rPr>
                <w:rStyle w:val="6"/>
                <w:rFonts w:hint="eastAsia" w:asciiTheme="minorEastAsia" w:hAnsiTheme="minorEastAsia" w:cstheme="minorEastAsia"/>
                <w:b w:val="0"/>
                <w:bCs/>
                <w:color w:val="auto"/>
                <w:sz w:val="24"/>
                <w:szCs w:val="24"/>
                <w:vertAlign w:val="baseline"/>
                <w:lang w:val="en-US" w:eastAsia="zh-CN"/>
              </w:rPr>
            </w:pPr>
          </w:p>
        </w:tc>
        <w:tc>
          <w:tcPr>
            <w:tcW w:w="1361" w:type="dxa"/>
            <w:vMerge w:val="continue"/>
            <w:vAlign w:val="center"/>
          </w:tcPr>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right="0" w:rightChars="0"/>
              <w:jc w:val="center"/>
              <w:textAlignment w:val="auto"/>
              <w:outlineLvl w:val="9"/>
              <w:rPr>
                <w:rStyle w:val="6"/>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9" w:hRule="atLeast"/>
          <w:jc w:val="center"/>
        </w:trPr>
        <w:tc>
          <w:tcPr>
            <w:tcW w:w="1023" w:type="dxa"/>
            <w:vMerge w:val="continue"/>
            <w:vAlign w:val="center"/>
          </w:tcPr>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right="0" w:rightChars="0"/>
              <w:jc w:val="center"/>
              <w:textAlignment w:val="auto"/>
              <w:outlineLvl w:val="9"/>
              <w:rPr>
                <w:rStyle w:val="6"/>
                <w:rFonts w:hint="eastAsia" w:asciiTheme="minorEastAsia" w:hAnsiTheme="minorEastAsia" w:cstheme="minorEastAsia"/>
                <w:b w:val="0"/>
                <w:bCs/>
                <w:color w:val="auto"/>
                <w:sz w:val="24"/>
                <w:szCs w:val="24"/>
                <w:vertAlign w:val="baseline"/>
                <w:lang w:val="en-US" w:eastAsia="zh-CN"/>
              </w:rPr>
            </w:pPr>
          </w:p>
        </w:tc>
        <w:tc>
          <w:tcPr>
            <w:tcW w:w="2505" w:type="dxa"/>
            <w:vAlign w:val="center"/>
          </w:tcPr>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right="0" w:rightChars="0"/>
              <w:jc w:val="center"/>
              <w:textAlignment w:val="auto"/>
              <w:outlineLvl w:val="9"/>
              <w:rPr>
                <w:rStyle w:val="6"/>
                <w:rFonts w:hint="eastAsia" w:asciiTheme="minorEastAsia" w:hAnsiTheme="minorEastAsia" w:cstheme="minorEastAsia"/>
                <w:b w:val="0"/>
                <w:bCs/>
                <w:color w:val="auto"/>
                <w:sz w:val="24"/>
                <w:szCs w:val="24"/>
                <w:vertAlign w:val="baseline"/>
                <w:lang w:val="en-US" w:eastAsia="zh-CN"/>
              </w:rPr>
            </w:pPr>
            <w:r>
              <w:rPr>
                <w:rStyle w:val="6"/>
                <w:rFonts w:hint="eastAsia" w:asciiTheme="minorEastAsia" w:hAnsiTheme="minorEastAsia" w:cstheme="minorEastAsia"/>
                <w:b w:val="0"/>
                <w:bCs/>
                <w:color w:val="auto"/>
                <w:sz w:val="24"/>
                <w:szCs w:val="24"/>
                <w:vertAlign w:val="baseline"/>
                <w:lang w:val="en-US" w:eastAsia="zh-CN"/>
              </w:rPr>
              <w:t>6.宽195*高220</w:t>
            </w:r>
          </w:p>
        </w:tc>
        <w:tc>
          <w:tcPr>
            <w:tcW w:w="1050" w:type="dxa"/>
            <w:vAlign w:val="center"/>
          </w:tcPr>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right="0" w:rightChars="0"/>
              <w:jc w:val="center"/>
              <w:textAlignment w:val="auto"/>
              <w:outlineLvl w:val="9"/>
              <w:rPr>
                <w:rStyle w:val="6"/>
                <w:rFonts w:hint="eastAsia" w:asciiTheme="minorEastAsia" w:hAnsiTheme="minorEastAsia" w:cstheme="minorEastAsia"/>
                <w:b w:val="0"/>
                <w:bCs/>
                <w:color w:val="auto"/>
                <w:sz w:val="24"/>
                <w:szCs w:val="24"/>
                <w:vertAlign w:val="baseline"/>
                <w:lang w:val="en-US" w:eastAsia="zh-CN"/>
              </w:rPr>
            </w:pPr>
            <w:r>
              <w:rPr>
                <w:rStyle w:val="6"/>
                <w:rFonts w:hint="eastAsia" w:asciiTheme="minorEastAsia" w:hAnsiTheme="minorEastAsia" w:cstheme="minorEastAsia"/>
                <w:b w:val="0"/>
                <w:bCs/>
                <w:color w:val="auto"/>
                <w:sz w:val="24"/>
                <w:szCs w:val="24"/>
                <w:vertAlign w:val="baseline"/>
                <w:lang w:val="en-US" w:eastAsia="zh-CN"/>
              </w:rPr>
              <w:t>1</w:t>
            </w:r>
          </w:p>
        </w:tc>
        <w:tc>
          <w:tcPr>
            <w:tcW w:w="3145" w:type="dxa"/>
            <w:vMerge w:val="continue"/>
            <w:vAlign w:val="center"/>
          </w:tcPr>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right="0" w:rightChars="0"/>
              <w:jc w:val="center"/>
              <w:textAlignment w:val="auto"/>
              <w:outlineLvl w:val="9"/>
              <w:rPr>
                <w:rStyle w:val="6"/>
                <w:rFonts w:hint="eastAsia" w:asciiTheme="minorEastAsia" w:hAnsiTheme="minorEastAsia" w:cstheme="minorEastAsia"/>
                <w:b w:val="0"/>
                <w:bCs/>
                <w:color w:val="auto"/>
                <w:sz w:val="24"/>
                <w:szCs w:val="24"/>
                <w:vertAlign w:val="baseline"/>
                <w:lang w:val="en-US" w:eastAsia="zh-CN"/>
              </w:rPr>
            </w:pPr>
          </w:p>
        </w:tc>
        <w:tc>
          <w:tcPr>
            <w:tcW w:w="1361" w:type="dxa"/>
            <w:vMerge w:val="continue"/>
            <w:vAlign w:val="center"/>
          </w:tcPr>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right="0" w:rightChars="0"/>
              <w:jc w:val="center"/>
              <w:textAlignment w:val="auto"/>
              <w:outlineLvl w:val="9"/>
              <w:rPr>
                <w:rStyle w:val="6"/>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7" w:hRule="atLeast"/>
          <w:jc w:val="center"/>
        </w:trPr>
        <w:tc>
          <w:tcPr>
            <w:tcW w:w="1023" w:type="dxa"/>
            <w:vMerge w:val="continue"/>
            <w:vAlign w:val="center"/>
          </w:tcPr>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right="0" w:rightChars="0"/>
              <w:jc w:val="center"/>
              <w:textAlignment w:val="auto"/>
              <w:outlineLvl w:val="9"/>
              <w:rPr>
                <w:rStyle w:val="6"/>
                <w:rFonts w:hint="eastAsia" w:asciiTheme="minorEastAsia" w:hAnsiTheme="minorEastAsia" w:cstheme="minorEastAsia"/>
                <w:b w:val="0"/>
                <w:bCs/>
                <w:color w:val="auto"/>
                <w:sz w:val="24"/>
                <w:szCs w:val="24"/>
                <w:vertAlign w:val="baseline"/>
                <w:lang w:val="en-US" w:eastAsia="zh-CN"/>
              </w:rPr>
            </w:pPr>
          </w:p>
        </w:tc>
        <w:tc>
          <w:tcPr>
            <w:tcW w:w="2505" w:type="dxa"/>
            <w:vAlign w:val="center"/>
          </w:tcPr>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right="0" w:rightChars="0"/>
              <w:jc w:val="center"/>
              <w:textAlignment w:val="auto"/>
              <w:outlineLvl w:val="9"/>
              <w:rPr>
                <w:rStyle w:val="6"/>
                <w:rFonts w:hint="eastAsia" w:asciiTheme="minorEastAsia" w:hAnsiTheme="minorEastAsia" w:cstheme="minorEastAsia"/>
                <w:b w:val="0"/>
                <w:bCs/>
                <w:color w:val="auto"/>
                <w:sz w:val="24"/>
                <w:szCs w:val="24"/>
                <w:vertAlign w:val="baseline"/>
                <w:lang w:val="en-US" w:eastAsia="zh-CN"/>
              </w:rPr>
            </w:pPr>
            <w:r>
              <w:rPr>
                <w:rStyle w:val="6"/>
                <w:rFonts w:hint="eastAsia" w:asciiTheme="minorEastAsia" w:hAnsiTheme="minorEastAsia" w:cstheme="minorEastAsia"/>
                <w:b w:val="0"/>
                <w:bCs/>
                <w:color w:val="auto"/>
                <w:sz w:val="24"/>
                <w:szCs w:val="24"/>
                <w:vertAlign w:val="baseline"/>
                <w:lang w:val="en-US" w:eastAsia="zh-CN"/>
              </w:rPr>
              <w:t>7.宽450*高220</w:t>
            </w:r>
          </w:p>
        </w:tc>
        <w:tc>
          <w:tcPr>
            <w:tcW w:w="1050" w:type="dxa"/>
            <w:vAlign w:val="center"/>
          </w:tcPr>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right="0" w:rightChars="0"/>
              <w:jc w:val="center"/>
              <w:textAlignment w:val="auto"/>
              <w:outlineLvl w:val="9"/>
              <w:rPr>
                <w:rStyle w:val="6"/>
                <w:rFonts w:hint="eastAsia" w:asciiTheme="minorEastAsia" w:hAnsiTheme="minorEastAsia" w:cstheme="minorEastAsia"/>
                <w:b w:val="0"/>
                <w:bCs/>
                <w:color w:val="auto"/>
                <w:sz w:val="24"/>
                <w:szCs w:val="24"/>
                <w:vertAlign w:val="baseline"/>
                <w:lang w:val="en-US" w:eastAsia="zh-CN"/>
              </w:rPr>
            </w:pPr>
            <w:r>
              <w:rPr>
                <w:rStyle w:val="6"/>
                <w:rFonts w:hint="eastAsia" w:asciiTheme="minorEastAsia" w:hAnsiTheme="minorEastAsia" w:cstheme="minorEastAsia"/>
                <w:b w:val="0"/>
                <w:bCs/>
                <w:color w:val="auto"/>
                <w:sz w:val="24"/>
                <w:szCs w:val="24"/>
                <w:vertAlign w:val="baseline"/>
                <w:lang w:val="en-US" w:eastAsia="zh-CN"/>
              </w:rPr>
              <w:t>1</w:t>
            </w:r>
          </w:p>
        </w:tc>
        <w:tc>
          <w:tcPr>
            <w:tcW w:w="3145" w:type="dxa"/>
            <w:vMerge w:val="continue"/>
            <w:vAlign w:val="center"/>
          </w:tcPr>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right="0" w:rightChars="0"/>
              <w:jc w:val="center"/>
              <w:textAlignment w:val="auto"/>
              <w:outlineLvl w:val="9"/>
              <w:rPr>
                <w:rStyle w:val="6"/>
                <w:rFonts w:hint="eastAsia" w:asciiTheme="minorEastAsia" w:hAnsiTheme="minorEastAsia" w:cstheme="minorEastAsia"/>
                <w:b w:val="0"/>
                <w:bCs/>
                <w:color w:val="auto"/>
                <w:sz w:val="24"/>
                <w:szCs w:val="24"/>
                <w:vertAlign w:val="baseline"/>
                <w:lang w:val="en-US" w:eastAsia="zh-CN"/>
              </w:rPr>
            </w:pPr>
          </w:p>
        </w:tc>
        <w:tc>
          <w:tcPr>
            <w:tcW w:w="1361" w:type="dxa"/>
            <w:vMerge w:val="continue"/>
            <w:vAlign w:val="center"/>
          </w:tcPr>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right="0" w:rightChars="0"/>
              <w:jc w:val="center"/>
              <w:textAlignment w:val="auto"/>
              <w:outlineLvl w:val="9"/>
              <w:rPr>
                <w:rStyle w:val="6"/>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023" w:type="dxa"/>
            <w:vMerge w:val="continue"/>
            <w:vAlign w:val="center"/>
          </w:tcPr>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right="0" w:rightChars="0"/>
              <w:jc w:val="center"/>
              <w:textAlignment w:val="auto"/>
              <w:outlineLvl w:val="9"/>
              <w:rPr>
                <w:rStyle w:val="6"/>
                <w:rFonts w:hint="eastAsia" w:asciiTheme="minorEastAsia" w:hAnsiTheme="minorEastAsia" w:cstheme="minorEastAsia"/>
                <w:b w:val="0"/>
                <w:bCs/>
                <w:color w:val="auto"/>
                <w:sz w:val="24"/>
                <w:szCs w:val="24"/>
                <w:vertAlign w:val="baseline"/>
                <w:lang w:val="en-US" w:eastAsia="zh-CN"/>
              </w:rPr>
            </w:pPr>
          </w:p>
        </w:tc>
        <w:tc>
          <w:tcPr>
            <w:tcW w:w="2505" w:type="dxa"/>
            <w:vAlign w:val="center"/>
          </w:tcPr>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right="0" w:rightChars="0"/>
              <w:jc w:val="center"/>
              <w:textAlignment w:val="auto"/>
              <w:outlineLvl w:val="9"/>
              <w:rPr>
                <w:rStyle w:val="6"/>
                <w:rFonts w:hint="eastAsia" w:asciiTheme="minorEastAsia" w:hAnsiTheme="minorEastAsia" w:cstheme="minorEastAsia"/>
                <w:b w:val="0"/>
                <w:bCs/>
                <w:color w:val="auto"/>
                <w:sz w:val="24"/>
                <w:szCs w:val="24"/>
                <w:vertAlign w:val="baseline"/>
                <w:lang w:val="en-US" w:eastAsia="zh-CN"/>
              </w:rPr>
            </w:pPr>
            <w:r>
              <w:rPr>
                <w:rStyle w:val="6"/>
                <w:rFonts w:hint="eastAsia" w:asciiTheme="minorEastAsia" w:hAnsiTheme="minorEastAsia" w:cstheme="minorEastAsia"/>
                <w:b w:val="0"/>
                <w:bCs/>
                <w:color w:val="auto"/>
                <w:sz w:val="24"/>
                <w:szCs w:val="24"/>
                <w:vertAlign w:val="baseline"/>
                <w:lang w:val="en-US" w:eastAsia="zh-CN"/>
              </w:rPr>
              <w:t>8.宽420*高220</w:t>
            </w:r>
          </w:p>
        </w:tc>
        <w:tc>
          <w:tcPr>
            <w:tcW w:w="1050" w:type="dxa"/>
            <w:vAlign w:val="center"/>
          </w:tcPr>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right="0" w:rightChars="0"/>
              <w:jc w:val="center"/>
              <w:textAlignment w:val="auto"/>
              <w:outlineLvl w:val="9"/>
              <w:rPr>
                <w:rStyle w:val="6"/>
                <w:rFonts w:hint="eastAsia" w:asciiTheme="minorEastAsia" w:hAnsiTheme="minorEastAsia" w:cstheme="minorEastAsia"/>
                <w:b w:val="0"/>
                <w:bCs/>
                <w:color w:val="auto"/>
                <w:sz w:val="24"/>
                <w:szCs w:val="24"/>
                <w:vertAlign w:val="baseline"/>
                <w:lang w:val="en-US" w:eastAsia="zh-CN"/>
              </w:rPr>
            </w:pPr>
            <w:r>
              <w:rPr>
                <w:rFonts w:hint="eastAsia"/>
                <w:lang w:val="en-US" w:eastAsia="zh-CN"/>
              </w:rPr>
              <w:t>1</w:t>
            </w:r>
          </w:p>
        </w:tc>
        <w:tc>
          <w:tcPr>
            <w:tcW w:w="3145" w:type="dxa"/>
            <w:vMerge w:val="continue"/>
            <w:vAlign w:val="center"/>
          </w:tcPr>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right="0" w:rightChars="0"/>
              <w:jc w:val="center"/>
              <w:textAlignment w:val="auto"/>
              <w:outlineLvl w:val="9"/>
              <w:rPr>
                <w:rStyle w:val="6"/>
                <w:rFonts w:hint="eastAsia" w:asciiTheme="minorEastAsia" w:hAnsiTheme="minorEastAsia" w:cstheme="minorEastAsia"/>
                <w:b w:val="0"/>
                <w:bCs/>
                <w:color w:val="auto"/>
                <w:sz w:val="24"/>
                <w:szCs w:val="24"/>
                <w:vertAlign w:val="baseline"/>
                <w:lang w:val="en-US" w:eastAsia="zh-CN"/>
              </w:rPr>
            </w:pPr>
          </w:p>
        </w:tc>
        <w:tc>
          <w:tcPr>
            <w:tcW w:w="1361" w:type="dxa"/>
            <w:vMerge w:val="continue"/>
            <w:vAlign w:val="center"/>
          </w:tcPr>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right="0" w:rightChars="0"/>
              <w:jc w:val="center"/>
              <w:textAlignment w:val="auto"/>
              <w:outlineLvl w:val="9"/>
              <w:rPr>
                <w:rStyle w:val="6"/>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9084" w:type="dxa"/>
            <w:gridSpan w:val="5"/>
            <w:vAlign w:val="center"/>
          </w:tcPr>
          <w:p>
            <w:pPr>
              <w:pStyle w:val="4"/>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right="0" w:rightChars="0"/>
              <w:jc w:val="left"/>
              <w:textAlignment w:val="auto"/>
              <w:outlineLvl w:val="9"/>
              <w:rPr>
                <w:rStyle w:val="6"/>
                <w:rFonts w:hint="eastAsia" w:asciiTheme="minorEastAsia" w:hAnsiTheme="minorEastAsia" w:cstheme="minorEastAsia"/>
                <w:b w:val="0"/>
                <w:bCs/>
                <w:color w:val="auto"/>
                <w:sz w:val="24"/>
                <w:szCs w:val="24"/>
                <w:vertAlign w:val="baseline"/>
                <w:lang w:eastAsia="zh-CN"/>
              </w:rPr>
            </w:pPr>
            <w:r>
              <w:rPr>
                <w:rStyle w:val="6"/>
                <w:rFonts w:hint="eastAsia" w:asciiTheme="minorEastAsia" w:hAnsiTheme="minorEastAsia" w:cstheme="minorEastAsia"/>
                <w:b w:val="0"/>
                <w:bCs/>
                <w:color w:val="auto"/>
                <w:sz w:val="24"/>
                <w:szCs w:val="24"/>
                <w:vertAlign w:val="baseline"/>
                <w:lang w:eastAsia="zh-CN"/>
              </w:rPr>
              <w:t>备注：以上规格以实际测量为准，结合现场实际情况安装，窗帘颜色以采购人具体实施为准。</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color w:val="auto"/>
          <w:kern w:val="2"/>
          <w:sz w:val="24"/>
          <w:szCs w:val="22"/>
          <w:lang w:val="en-US" w:eastAsia="zh-CN" w:bidi="ar-SA"/>
        </w:rPr>
      </w:pPr>
      <w:r>
        <w:rPr>
          <w:rFonts w:hint="eastAsia" w:ascii="Times New Roman" w:hAnsi="Times New Roman" w:eastAsia="宋体" w:cs="Times New Roman"/>
          <w:b w:val="0"/>
          <w:bCs/>
          <w:color w:val="auto"/>
          <w:kern w:val="2"/>
          <w:sz w:val="24"/>
          <w:szCs w:val="22"/>
          <w:lang w:val="en-US" w:eastAsia="zh-CN" w:bidi="ar-SA"/>
        </w:rPr>
        <w:t>2.</w:t>
      </w:r>
      <w:r>
        <w:rPr>
          <w:rFonts w:hint="default" w:ascii="Times New Roman" w:hAnsi="Times New Roman" w:eastAsia="宋体" w:cs="Times New Roman"/>
          <w:b w:val="0"/>
          <w:bCs/>
          <w:color w:val="auto"/>
          <w:kern w:val="2"/>
          <w:sz w:val="24"/>
          <w:szCs w:val="22"/>
          <w:lang w:val="en-US" w:eastAsia="zh-CN" w:bidi="ar-SA"/>
        </w:rPr>
        <w:t>供应商提供的货物质量必须符合国家相关标准、行业标准及采购文件要求。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color w:val="auto"/>
          <w:kern w:val="2"/>
          <w:sz w:val="24"/>
          <w:szCs w:val="22"/>
          <w:lang w:val="en-US" w:eastAsia="zh-CN" w:bidi="ar-SA"/>
        </w:rPr>
      </w:pPr>
      <w:r>
        <w:rPr>
          <w:rFonts w:hint="eastAsia" w:ascii="Times New Roman" w:hAnsi="Times New Roman" w:eastAsia="宋体" w:cs="Times New Roman"/>
          <w:b w:val="0"/>
          <w:bCs/>
          <w:color w:val="auto"/>
          <w:kern w:val="2"/>
          <w:sz w:val="24"/>
          <w:szCs w:val="22"/>
          <w:lang w:val="en-US" w:eastAsia="zh-CN" w:bidi="ar-SA"/>
        </w:rPr>
        <w:t>3.供应商提供的货物必须为完整、全新未启用、无污渍、无破损、高质量的和工艺精良的合格正品。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b w:val="0"/>
          <w:bCs/>
          <w:color w:val="auto"/>
          <w:kern w:val="2"/>
          <w:sz w:val="24"/>
          <w:szCs w:val="22"/>
          <w:highlight w:val="none"/>
          <w:lang w:val="en-US" w:eastAsia="zh-CN" w:bidi="ar-SA"/>
        </w:rPr>
      </w:pPr>
      <w:r>
        <w:rPr>
          <w:rFonts w:hint="eastAsia" w:ascii="Times New Roman" w:hAnsi="Times New Roman" w:eastAsia="宋体" w:cs="Times New Roman"/>
          <w:b w:val="0"/>
          <w:bCs/>
          <w:color w:val="auto"/>
          <w:kern w:val="2"/>
          <w:sz w:val="24"/>
          <w:szCs w:val="22"/>
          <w:lang w:val="en-US" w:eastAsia="zh-CN" w:bidi="ar-SA"/>
        </w:rPr>
        <w:t>4.供应商安装货物过程中应文明施工，对</w:t>
      </w:r>
      <w:r>
        <w:rPr>
          <w:rFonts w:hint="eastAsia" w:ascii="Times New Roman" w:hAnsi="Times New Roman" w:eastAsia="宋体" w:cs="Times New Roman"/>
          <w:bCs/>
          <w:color w:val="auto"/>
          <w:sz w:val="24"/>
          <w:szCs w:val="22"/>
          <w:lang w:val="en-US" w:eastAsia="zh-CN"/>
        </w:rPr>
        <w:t>安装场地内的其它设备、设施有良好保护措施；安装完毕后供应商应负责对场所进行清场，否则采购人有权自主采取措施并要求成交供应商承担相应费用；供应商自行承担安装过程安全责任</w:t>
      </w:r>
      <w:r>
        <w:rPr>
          <w:rFonts w:hint="eastAsia" w:ascii="Times New Roman" w:hAnsi="Times New Roman" w:eastAsia="宋体" w:cs="Times New Roman"/>
          <w:b w:val="0"/>
          <w:bCs/>
          <w:color w:val="auto"/>
          <w:kern w:val="2"/>
          <w:sz w:val="24"/>
          <w:szCs w:val="22"/>
          <w:highlight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color w:val="auto"/>
          <w:kern w:val="2"/>
          <w:sz w:val="24"/>
          <w:szCs w:val="22"/>
          <w:highlight w:val="none"/>
          <w:lang w:val="en-US" w:eastAsia="zh-CN" w:bidi="ar-SA"/>
        </w:rPr>
      </w:pPr>
      <w:r>
        <w:rPr>
          <w:rFonts w:hint="eastAsia" w:ascii="Times New Roman" w:hAnsi="Times New Roman" w:eastAsia="宋体" w:cs="Times New Roman"/>
          <w:b w:val="0"/>
          <w:bCs/>
          <w:color w:val="auto"/>
          <w:kern w:val="2"/>
          <w:sz w:val="24"/>
          <w:szCs w:val="22"/>
          <w:highlight w:val="none"/>
          <w:lang w:val="en-US" w:eastAsia="zh-CN" w:bidi="ar-SA"/>
        </w:rPr>
        <w:t>5.供应商提供的货物须按国家规定的标准及保护措施进行包装，包装材料、标识和随货资料应符合国家的有关要求。凡由于包装不良造成的损失和由此产生的费用均由供应商承担。</w:t>
      </w:r>
    </w:p>
    <w:p>
      <w:pPr>
        <w:pStyle w:val="2"/>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Times New Roman" w:hAnsi="Times New Roman" w:eastAsia="宋体" w:cs="Times New Roman"/>
          <w:b/>
          <w:bCs w:val="0"/>
          <w:color w:val="auto"/>
          <w:kern w:val="2"/>
          <w:sz w:val="28"/>
          <w:szCs w:val="24"/>
          <w:highlight w:val="none"/>
          <w:lang w:val="en-US" w:eastAsia="zh-CN" w:bidi="ar-SA"/>
        </w:rPr>
      </w:pPr>
      <w:r>
        <w:rPr>
          <w:rFonts w:hint="eastAsia" w:ascii="Times New Roman" w:hAnsi="Times New Roman" w:eastAsia="宋体" w:cs="Times New Roman"/>
          <w:b/>
          <w:bCs w:val="0"/>
          <w:color w:val="auto"/>
          <w:kern w:val="2"/>
          <w:sz w:val="28"/>
          <w:szCs w:val="24"/>
          <w:highlight w:val="none"/>
          <w:lang w:val="en-US" w:eastAsia="zh-CN" w:bidi="ar-SA"/>
        </w:rPr>
        <w:t>三、商务要求</w:t>
      </w:r>
    </w:p>
    <w:tbl>
      <w:tblPr>
        <w:tblStyle w:val="7"/>
        <w:tblW w:w="8500"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07"/>
        <w:gridCol w:w="679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81" w:hRule="atLeast"/>
        </w:trPr>
        <w:tc>
          <w:tcPr>
            <w:tcW w:w="1707" w:type="dxa"/>
            <w:vAlign w:val="center"/>
          </w:tcPr>
          <w:p>
            <w:pPr>
              <w:pStyle w:val="10"/>
              <w:spacing w:line="360" w:lineRule="auto"/>
              <w:jc w:val="center"/>
              <w:rPr>
                <w:rFonts w:hint="eastAsia" w:cs="Tahoma"/>
                <w:b/>
                <w:bCs w:val="0"/>
                <w:color w:val="auto"/>
                <w:kern w:val="28"/>
                <w:sz w:val="21"/>
                <w:szCs w:val="21"/>
                <w:highlight w:val="none"/>
              </w:rPr>
            </w:pPr>
            <w:r>
              <w:rPr>
                <w:rFonts w:hint="eastAsia" w:cs="Tahoma"/>
                <w:b/>
                <w:bCs w:val="0"/>
                <w:color w:val="000000"/>
                <w:kern w:val="28"/>
                <w:sz w:val="21"/>
                <w:szCs w:val="21"/>
                <w:highlight w:val="none"/>
                <w:lang w:val="en-US" w:eastAsia="zh-CN"/>
              </w:rPr>
              <w:t>交货期</w:t>
            </w:r>
          </w:p>
        </w:tc>
        <w:tc>
          <w:tcPr>
            <w:tcW w:w="6793" w:type="dxa"/>
            <w:vAlign w:val="top"/>
          </w:tcPr>
          <w:p>
            <w:pPr>
              <w:pStyle w:val="10"/>
              <w:spacing w:line="360" w:lineRule="auto"/>
              <w:jc w:val="left"/>
              <w:rPr>
                <w:rFonts w:hint="eastAsia" w:cs="Tahoma"/>
                <w:b w:val="0"/>
                <w:bCs/>
                <w:color w:val="auto"/>
                <w:kern w:val="28"/>
                <w:sz w:val="21"/>
                <w:szCs w:val="21"/>
                <w:highlight w:val="none"/>
                <w:lang w:eastAsia="zh-CN"/>
              </w:rPr>
            </w:pPr>
            <w:r>
              <w:rPr>
                <w:rFonts w:hint="eastAsia" w:cs="Tahoma"/>
                <w:b w:val="0"/>
                <w:bCs/>
                <w:color w:val="auto"/>
                <w:kern w:val="28"/>
                <w:sz w:val="21"/>
                <w:szCs w:val="21"/>
                <w:highlight w:val="none"/>
                <w:lang w:eastAsia="zh-CN"/>
              </w:rPr>
              <w:t>在采购人下达订单起七天内完成安装调试。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81" w:hRule="atLeast"/>
        </w:trPr>
        <w:tc>
          <w:tcPr>
            <w:tcW w:w="1707" w:type="dxa"/>
            <w:vAlign w:val="center"/>
          </w:tcPr>
          <w:p>
            <w:pPr>
              <w:pStyle w:val="10"/>
              <w:spacing w:line="360" w:lineRule="auto"/>
              <w:jc w:val="center"/>
              <w:rPr>
                <w:rFonts w:hint="eastAsia" w:cs="Tahoma"/>
                <w:b/>
                <w:bCs w:val="0"/>
                <w:color w:val="auto"/>
                <w:kern w:val="28"/>
                <w:sz w:val="21"/>
                <w:szCs w:val="21"/>
                <w:highlight w:val="none"/>
              </w:rPr>
            </w:pPr>
            <w:r>
              <w:rPr>
                <w:rFonts w:hint="eastAsia" w:cs="Tahoma"/>
                <w:b/>
                <w:bCs w:val="0"/>
                <w:color w:val="000000"/>
                <w:kern w:val="28"/>
                <w:sz w:val="21"/>
                <w:szCs w:val="21"/>
                <w:highlight w:val="none"/>
                <w:lang w:val="en-US" w:eastAsia="zh-CN"/>
              </w:rPr>
              <w:t>交货地点</w:t>
            </w:r>
          </w:p>
        </w:tc>
        <w:tc>
          <w:tcPr>
            <w:tcW w:w="6793" w:type="dxa"/>
            <w:vAlign w:val="top"/>
          </w:tcPr>
          <w:p>
            <w:pPr>
              <w:pStyle w:val="10"/>
              <w:spacing w:line="360" w:lineRule="auto"/>
              <w:jc w:val="left"/>
              <w:rPr>
                <w:rFonts w:hint="eastAsia" w:cs="Tahoma"/>
                <w:b w:val="0"/>
                <w:bCs/>
                <w:color w:val="auto"/>
                <w:kern w:val="28"/>
                <w:sz w:val="21"/>
                <w:szCs w:val="21"/>
                <w:highlight w:val="none"/>
                <w:lang w:eastAsia="zh-CN"/>
              </w:rPr>
            </w:pPr>
            <w:r>
              <w:rPr>
                <w:rFonts w:hint="eastAsia" w:cs="Tahoma"/>
                <w:b w:val="0"/>
                <w:bCs/>
                <w:color w:val="000000"/>
                <w:kern w:val="28"/>
                <w:sz w:val="21"/>
                <w:szCs w:val="21"/>
                <w:highlight w:val="none"/>
                <w:lang w:eastAsia="zh-CN"/>
              </w:rPr>
              <w:t>采购人指定地点。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81" w:hRule="atLeast"/>
        </w:trPr>
        <w:tc>
          <w:tcPr>
            <w:tcW w:w="1707" w:type="dxa"/>
            <w:vAlign w:val="center"/>
          </w:tcPr>
          <w:p>
            <w:pPr>
              <w:pStyle w:val="10"/>
              <w:pageBreakBefore w:val="0"/>
              <w:kinsoku/>
              <w:overflowPunct/>
              <w:bidi w:val="0"/>
              <w:spacing w:line="360" w:lineRule="auto"/>
              <w:jc w:val="center"/>
              <w:rPr>
                <w:rFonts w:hint="eastAsia" w:ascii="宋体" w:hAnsi="Times New Roman" w:eastAsia="宋体" w:cs="Tahoma"/>
                <w:b/>
                <w:bCs w:val="0"/>
                <w:color w:val="auto"/>
                <w:kern w:val="28"/>
                <w:sz w:val="21"/>
                <w:szCs w:val="21"/>
                <w:highlight w:val="none"/>
                <w:lang w:val="en-US" w:eastAsia="zh-CN" w:bidi="ar-SA"/>
              </w:rPr>
            </w:pPr>
            <w:r>
              <w:rPr>
                <w:rFonts w:hint="eastAsia" w:cs="Tahoma"/>
                <w:b/>
                <w:bCs w:val="0"/>
                <w:color w:val="auto"/>
                <w:kern w:val="28"/>
                <w:sz w:val="21"/>
                <w:szCs w:val="21"/>
                <w:highlight w:val="none"/>
                <w:lang w:eastAsia="zh-CN"/>
              </w:rPr>
              <w:t>响应</w:t>
            </w:r>
            <w:r>
              <w:rPr>
                <w:rFonts w:hint="eastAsia" w:cs="Tahoma"/>
                <w:b/>
                <w:bCs w:val="0"/>
                <w:color w:val="auto"/>
                <w:kern w:val="28"/>
                <w:sz w:val="21"/>
                <w:szCs w:val="21"/>
                <w:highlight w:val="none"/>
              </w:rPr>
              <w:t>有效期</w:t>
            </w:r>
          </w:p>
        </w:tc>
        <w:tc>
          <w:tcPr>
            <w:tcW w:w="6793" w:type="dxa"/>
            <w:vAlign w:val="top"/>
          </w:tcPr>
          <w:p>
            <w:pPr>
              <w:pStyle w:val="10"/>
              <w:pageBreakBefore w:val="0"/>
              <w:kinsoku/>
              <w:overflowPunct/>
              <w:bidi w:val="0"/>
              <w:spacing w:line="360" w:lineRule="auto"/>
              <w:jc w:val="left"/>
              <w:rPr>
                <w:rFonts w:hint="eastAsia" w:ascii="宋体" w:hAnsi="Times New Roman" w:eastAsia="宋体" w:cs="Tahoma"/>
                <w:b w:val="0"/>
                <w:bCs/>
                <w:color w:val="auto"/>
                <w:kern w:val="28"/>
                <w:sz w:val="21"/>
                <w:szCs w:val="21"/>
                <w:highlight w:val="none"/>
                <w:lang w:val="en-US" w:eastAsia="zh-CN" w:bidi="ar-SA"/>
              </w:rPr>
            </w:pPr>
            <w:r>
              <w:rPr>
                <w:rFonts w:hint="eastAsia" w:cs="Tahoma"/>
                <w:b w:val="0"/>
                <w:bCs/>
                <w:color w:val="auto"/>
                <w:kern w:val="28"/>
                <w:sz w:val="21"/>
                <w:szCs w:val="21"/>
                <w:highlight w:val="none"/>
                <w:lang w:eastAsia="zh-CN"/>
              </w:rPr>
              <w:t>从提交响应文件的截止之日起90日历天。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754" w:hRule="atLeast"/>
        </w:trPr>
        <w:tc>
          <w:tcPr>
            <w:tcW w:w="1707" w:type="dxa"/>
            <w:vAlign w:val="center"/>
          </w:tcPr>
          <w:p>
            <w:pPr>
              <w:pStyle w:val="10"/>
              <w:pageBreakBefore w:val="0"/>
              <w:kinsoku/>
              <w:overflowPunct/>
              <w:bidi w:val="0"/>
              <w:spacing w:line="360" w:lineRule="auto"/>
              <w:jc w:val="center"/>
              <w:rPr>
                <w:rFonts w:hint="eastAsia" w:ascii="宋体" w:hAnsi="Times New Roman" w:eastAsia="宋体" w:cs="Tahoma"/>
                <w:b/>
                <w:bCs w:val="0"/>
                <w:color w:val="000000"/>
                <w:kern w:val="28"/>
                <w:sz w:val="21"/>
                <w:szCs w:val="21"/>
                <w:highlight w:val="none"/>
                <w:lang w:val="en-US" w:eastAsia="zh-CN" w:bidi="ar-SA"/>
              </w:rPr>
            </w:pPr>
            <w:r>
              <w:rPr>
                <w:rFonts w:hint="eastAsia" w:ascii="宋体" w:hAnsi="Times New Roman" w:eastAsia="宋体" w:cs="Tahoma"/>
                <w:b/>
                <w:bCs w:val="0"/>
                <w:color w:val="000000"/>
                <w:kern w:val="28"/>
                <w:sz w:val="21"/>
                <w:szCs w:val="21"/>
                <w:highlight w:val="none"/>
                <w:lang w:val="en-US" w:eastAsia="zh-CN" w:bidi="ar-SA"/>
              </w:rPr>
              <w:t>付款方式</w:t>
            </w:r>
          </w:p>
        </w:tc>
        <w:tc>
          <w:tcPr>
            <w:tcW w:w="6793" w:type="dxa"/>
            <w:vAlign w:val="top"/>
          </w:tcPr>
          <w:p>
            <w:pPr>
              <w:pStyle w:val="9"/>
              <w:pageBreakBefore w:val="0"/>
              <w:kinsoku/>
              <w:overflowPunct/>
              <w:bidi w:val="0"/>
              <w:spacing w:line="360" w:lineRule="auto"/>
              <w:ind w:left="0" w:leftChars="0" w:firstLine="0" w:firstLineChars="0"/>
              <w:rPr>
                <w:rFonts w:hint="eastAsia" w:ascii="宋体" w:hAnsi="Times New Roman" w:eastAsia="宋体" w:cs="Tahoma"/>
                <w:b w:val="0"/>
                <w:bCs/>
                <w:color w:val="000000"/>
                <w:kern w:val="28"/>
                <w:sz w:val="21"/>
                <w:szCs w:val="21"/>
                <w:highlight w:val="none"/>
                <w:lang w:val="en-US" w:eastAsia="zh-CN" w:bidi="ar-SA"/>
              </w:rPr>
            </w:pPr>
            <w:r>
              <w:rPr>
                <w:rFonts w:hint="eastAsia" w:ascii="宋体" w:hAnsi="Times New Roman" w:eastAsia="宋体" w:cs="Tahoma"/>
                <w:b w:val="0"/>
                <w:bCs/>
                <w:color w:val="000000"/>
                <w:kern w:val="28"/>
                <w:sz w:val="21"/>
                <w:szCs w:val="21"/>
                <w:highlight w:val="none"/>
                <w:lang w:val="en-US" w:eastAsia="zh-CN" w:bidi="ar-SA"/>
              </w:rPr>
              <w:t>1.本合同的款项以人民币</w:t>
            </w:r>
            <w:r>
              <w:rPr>
                <w:rFonts w:hint="eastAsia" w:ascii="宋体" w:cs="Tahoma"/>
                <w:b w:val="0"/>
                <w:bCs/>
                <w:color w:val="000000"/>
                <w:kern w:val="28"/>
                <w:sz w:val="21"/>
                <w:szCs w:val="21"/>
                <w:highlight w:val="none"/>
                <w:lang w:val="en-US" w:eastAsia="zh-CN" w:bidi="ar-SA"/>
              </w:rPr>
              <w:t>银行转账</w:t>
            </w:r>
            <w:r>
              <w:rPr>
                <w:rFonts w:hint="eastAsia" w:ascii="宋体" w:hAnsi="Times New Roman" w:eastAsia="宋体" w:cs="Tahoma"/>
                <w:b w:val="0"/>
                <w:bCs/>
                <w:color w:val="000000"/>
                <w:kern w:val="28"/>
                <w:sz w:val="21"/>
                <w:szCs w:val="21"/>
                <w:highlight w:val="none"/>
                <w:lang w:val="en-US" w:eastAsia="zh-CN" w:bidi="ar-SA"/>
              </w:rPr>
              <w:t>方式支付；</w:t>
            </w:r>
          </w:p>
          <w:p>
            <w:pPr>
              <w:pStyle w:val="9"/>
              <w:pageBreakBefore w:val="0"/>
              <w:kinsoku/>
              <w:overflowPunct/>
              <w:bidi w:val="0"/>
              <w:spacing w:line="360" w:lineRule="auto"/>
              <w:ind w:left="0" w:leftChars="0" w:firstLine="0" w:firstLineChars="0"/>
              <w:rPr>
                <w:rFonts w:hint="eastAsia" w:ascii="宋体" w:hAnsi="Times New Roman" w:eastAsia="宋体" w:cs="Tahoma"/>
                <w:b w:val="0"/>
                <w:bCs/>
                <w:color w:val="auto"/>
                <w:kern w:val="28"/>
                <w:sz w:val="21"/>
                <w:szCs w:val="21"/>
                <w:highlight w:val="none"/>
                <w:lang w:val="en-US" w:eastAsia="zh-CN" w:bidi="ar-SA"/>
              </w:rPr>
            </w:pPr>
            <w:r>
              <w:rPr>
                <w:rFonts w:hint="eastAsia" w:ascii="宋体" w:cs="Tahoma"/>
                <w:b w:val="0"/>
                <w:bCs/>
                <w:color w:val="auto"/>
                <w:kern w:val="28"/>
                <w:sz w:val="21"/>
                <w:szCs w:val="21"/>
                <w:highlight w:val="none"/>
                <w:lang w:val="en-US" w:eastAsia="zh-CN" w:bidi="ar-SA"/>
              </w:rPr>
              <w:t>2.</w:t>
            </w:r>
            <w:r>
              <w:rPr>
                <w:rFonts w:hint="eastAsia" w:ascii="宋体" w:hAnsi="Times New Roman" w:eastAsia="宋体" w:cs="Tahoma"/>
                <w:bCs/>
                <w:color w:val="auto"/>
                <w:kern w:val="28"/>
                <w:sz w:val="21"/>
                <w:szCs w:val="21"/>
                <w:highlight w:val="none"/>
                <w:lang w:val="en-US" w:eastAsia="zh-CN" w:bidi="ar-SA"/>
              </w:rPr>
              <w:t>成交供应商将货物安装调试完毕，经采购人验收合格且收到核对无误的全额发票等申请款项资料后，采购人60日内支付合同款的100 %给成交供应商。</w:t>
            </w:r>
          </w:p>
          <w:p>
            <w:pPr>
              <w:pStyle w:val="9"/>
              <w:pageBreakBefore w:val="0"/>
              <w:kinsoku/>
              <w:overflowPunct/>
              <w:bidi w:val="0"/>
              <w:spacing w:line="360" w:lineRule="auto"/>
              <w:ind w:left="0" w:leftChars="0" w:firstLine="0" w:firstLineChars="0"/>
              <w:rPr>
                <w:rFonts w:hint="eastAsia" w:ascii="宋体" w:hAnsi="Times New Roman" w:eastAsia="宋体" w:cs="Tahoma"/>
                <w:b w:val="0"/>
                <w:bCs/>
                <w:color w:val="000000"/>
                <w:kern w:val="28"/>
                <w:sz w:val="21"/>
                <w:szCs w:val="21"/>
                <w:highlight w:val="none"/>
                <w:lang w:val="en-US" w:eastAsia="zh-CN" w:bidi="ar-SA"/>
              </w:rPr>
            </w:pPr>
            <w:r>
              <w:rPr>
                <w:rFonts w:hint="eastAsia" w:ascii="宋体" w:hAnsi="Times New Roman" w:eastAsia="宋体" w:cs="Tahoma"/>
                <w:b w:val="0"/>
                <w:bCs/>
                <w:color w:val="auto"/>
                <w:kern w:val="28"/>
                <w:sz w:val="21"/>
                <w:szCs w:val="21"/>
                <w:highlight w:val="none"/>
                <w:lang w:val="en-US" w:eastAsia="zh-CN" w:bidi="ar-SA"/>
              </w:rPr>
              <w:t>3.因采购人使用的是财政资金，申请汇款审批之日视为付款之日，若审批延迟则相应货款到账延迟，且不视为采购人违约。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81" w:hRule="atLeast"/>
        </w:trPr>
        <w:tc>
          <w:tcPr>
            <w:tcW w:w="1707" w:type="dxa"/>
            <w:vAlign w:val="center"/>
          </w:tcPr>
          <w:p>
            <w:pPr>
              <w:pStyle w:val="10"/>
              <w:pageBreakBefore w:val="0"/>
              <w:kinsoku/>
              <w:overflowPunct/>
              <w:bidi w:val="0"/>
              <w:spacing w:line="360" w:lineRule="auto"/>
              <w:jc w:val="center"/>
              <w:rPr>
                <w:rFonts w:hint="eastAsia" w:cs="Tahoma"/>
                <w:b/>
                <w:bCs w:val="0"/>
                <w:color w:val="000000"/>
                <w:kern w:val="28"/>
                <w:sz w:val="21"/>
                <w:szCs w:val="21"/>
                <w:highlight w:val="none"/>
                <w:lang w:eastAsia="zh-CN"/>
              </w:rPr>
            </w:pPr>
            <w:r>
              <w:rPr>
                <w:rFonts w:hint="eastAsia" w:cs="Tahoma"/>
                <w:b/>
                <w:bCs w:val="0"/>
                <w:color w:val="auto"/>
                <w:kern w:val="28"/>
                <w:sz w:val="21"/>
                <w:szCs w:val="21"/>
                <w:highlight w:val="none"/>
                <w:lang w:val="en-US" w:eastAsia="zh-CN" w:bidi="ar-SA"/>
              </w:rPr>
              <w:t>验收要求</w:t>
            </w:r>
          </w:p>
        </w:tc>
        <w:tc>
          <w:tcPr>
            <w:tcW w:w="6793" w:type="dxa"/>
            <w:vAlign w:val="top"/>
          </w:tcPr>
          <w:p>
            <w:pPr>
              <w:pStyle w:val="9"/>
              <w:pageBreakBefore w:val="0"/>
              <w:kinsoku/>
              <w:overflowPunct/>
              <w:bidi w:val="0"/>
              <w:spacing w:line="360" w:lineRule="auto"/>
              <w:ind w:left="0" w:leftChars="0" w:firstLine="0" w:firstLineChars="0"/>
              <w:rPr>
                <w:rFonts w:hint="eastAsia" w:ascii="宋体" w:cs="Tahoma"/>
                <w:b w:val="0"/>
                <w:bCs/>
                <w:color w:val="auto"/>
                <w:kern w:val="28"/>
                <w:sz w:val="21"/>
                <w:szCs w:val="21"/>
                <w:highlight w:val="none"/>
                <w:lang w:val="en-US" w:eastAsia="zh-CN" w:bidi="ar-SA"/>
              </w:rPr>
            </w:pPr>
            <w:r>
              <w:rPr>
                <w:rFonts w:hint="eastAsia" w:ascii="宋体" w:cs="Tahoma"/>
                <w:b w:val="0"/>
                <w:bCs/>
                <w:color w:val="auto"/>
                <w:kern w:val="28"/>
                <w:sz w:val="21"/>
                <w:szCs w:val="21"/>
                <w:highlight w:val="none"/>
                <w:lang w:val="en-US" w:eastAsia="zh-CN" w:bidi="ar-SA"/>
              </w:rPr>
              <w:t>1.货物安装调试完成后5个工作日内验收，验收应在采购人和成交供应商双方共同参加下进行，验收标准按照国家有关标准。</w:t>
            </w:r>
          </w:p>
          <w:p>
            <w:pPr>
              <w:pStyle w:val="9"/>
              <w:pageBreakBefore w:val="0"/>
              <w:kinsoku/>
              <w:overflowPunct/>
              <w:bidi w:val="0"/>
              <w:spacing w:line="360" w:lineRule="auto"/>
              <w:ind w:left="0" w:leftChars="0" w:firstLine="0" w:firstLineChars="0"/>
              <w:rPr>
                <w:rFonts w:hint="eastAsia" w:ascii="宋体" w:cs="Tahoma"/>
                <w:b w:val="0"/>
                <w:bCs/>
                <w:color w:val="auto"/>
                <w:kern w:val="28"/>
                <w:sz w:val="21"/>
                <w:szCs w:val="21"/>
                <w:highlight w:val="none"/>
                <w:lang w:val="en-US" w:eastAsia="zh-CN" w:bidi="ar-SA"/>
              </w:rPr>
            </w:pPr>
            <w:r>
              <w:rPr>
                <w:rFonts w:hint="eastAsia" w:ascii="宋体" w:cs="Tahoma"/>
                <w:b w:val="0"/>
                <w:bCs/>
                <w:color w:val="auto"/>
                <w:kern w:val="28"/>
                <w:sz w:val="21"/>
                <w:szCs w:val="21"/>
                <w:highlight w:val="none"/>
                <w:lang w:val="en-US" w:eastAsia="zh-CN" w:bidi="ar-SA"/>
              </w:rPr>
              <w:t>2.验收时如发现所交付的货物有短装、次品、损坏或其它不符合本合同规定之情形者，采购人应做出详尽的现场记录，或由采购人和成交供应商双方签署备忘录。此现场记录或备忘录可用作补充、缺失和更换损坏部件的有效证据。若发生上述情形，采购人有权要求退货或换货，由此产生的有关费用由成交供应商承担，验收期限相应后延。</w:t>
            </w:r>
          </w:p>
          <w:p>
            <w:pPr>
              <w:pStyle w:val="9"/>
              <w:pageBreakBefore w:val="0"/>
              <w:kinsoku/>
              <w:overflowPunct/>
              <w:bidi w:val="0"/>
              <w:spacing w:line="360" w:lineRule="auto"/>
              <w:ind w:left="0" w:leftChars="0" w:firstLine="0" w:firstLineChars="0"/>
              <w:rPr>
                <w:rFonts w:hint="eastAsia" w:ascii="宋体" w:cs="Tahoma"/>
                <w:b w:val="0"/>
                <w:bCs/>
                <w:color w:val="auto"/>
                <w:kern w:val="28"/>
                <w:sz w:val="21"/>
                <w:szCs w:val="21"/>
                <w:highlight w:val="none"/>
                <w:lang w:val="en-US" w:eastAsia="zh-CN" w:bidi="ar-SA"/>
              </w:rPr>
            </w:pPr>
            <w:r>
              <w:rPr>
                <w:rFonts w:hint="eastAsia" w:ascii="宋体" w:cs="Tahoma"/>
                <w:b w:val="0"/>
                <w:bCs/>
                <w:color w:val="auto"/>
                <w:kern w:val="28"/>
                <w:sz w:val="21"/>
                <w:szCs w:val="21"/>
                <w:highlight w:val="none"/>
                <w:lang w:val="en-US" w:eastAsia="zh-CN" w:bidi="ar-SA"/>
              </w:rPr>
              <w:t>3.如果货物运输和安装调试过程中因事故造成货物短缺、损坏，成交供应商应及时安排换装，以保证货物安装调试的成功完成。换货的相关费用由成交供应商承担。</w:t>
            </w:r>
          </w:p>
          <w:p>
            <w:pPr>
              <w:pStyle w:val="9"/>
              <w:pageBreakBefore w:val="0"/>
              <w:kinsoku/>
              <w:overflowPunct/>
              <w:bidi w:val="0"/>
              <w:spacing w:line="360" w:lineRule="auto"/>
              <w:ind w:left="0" w:leftChars="0" w:firstLine="0" w:firstLineChars="0"/>
              <w:rPr>
                <w:rFonts w:hint="eastAsia" w:cs="Tahoma"/>
                <w:b w:val="0"/>
                <w:bCs/>
                <w:color w:val="000000"/>
                <w:kern w:val="28"/>
                <w:sz w:val="21"/>
                <w:szCs w:val="21"/>
                <w:highlight w:val="none"/>
                <w:lang w:eastAsia="zh-CN"/>
              </w:rPr>
            </w:pPr>
            <w:r>
              <w:rPr>
                <w:rFonts w:hint="eastAsia" w:ascii="宋体" w:cs="Tahoma"/>
                <w:b w:val="0"/>
                <w:bCs/>
                <w:color w:val="auto"/>
                <w:kern w:val="28"/>
                <w:sz w:val="21"/>
                <w:szCs w:val="21"/>
                <w:highlight w:val="none"/>
                <w:lang w:val="en-US" w:eastAsia="zh-CN" w:bidi="ar-SA"/>
              </w:rPr>
              <w:t>4.成交供应商保证提供的货物不侵犯任何第三方的专利、商标或版权。否则，成交供应商须承担对第三方的专利或版权的侵权责任并承担因此而发生的所有费用。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81" w:hRule="atLeast"/>
        </w:trPr>
        <w:tc>
          <w:tcPr>
            <w:tcW w:w="1707" w:type="dxa"/>
            <w:vAlign w:val="center"/>
          </w:tcPr>
          <w:p>
            <w:pPr>
              <w:pStyle w:val="10"/>
              <w:pageBreakBefore w:val="0"/>
              <w:kinsoku/>
              <w:overflowPunct/>
              <w:bidi w:val="0"/>
              <w:spacing w:line="360" w:lineRule="auto"/>
              <w:jc w:val="center"/>
              <w:rPr>
                <w:rFonts w:hint="eastAsia" w:eastAsia="宋体" w:cs="Tahoma"/>
                <w:b/>
                <w:bCs w:val="0"/>
                <w:color w:val="000000"/>
                <w:kern w:val="28"/>
                <w:sz w:val="21"/>
                <w:szCs w:val="21"/>
                <w:highlight w:val="none"/>
                <w:lang w:eastAsia="zh-CN"/>
              </w:rPr>
            </w:pPr>
            <w:r>
              <w:rPr>
                <w:rFonts w:hint="eastAsia" w:cs="Tahoma"/>
                <w:b/>
                <w:bCs w:val="0"/>
                <w:color w:val="000000"/>
                <w:kern w:val="28"/>
                <w:sz w:val="21"/>
                <w:szCs w:val="21"/>
                <w:highlight w:val="none"/>
                <w:lang w:eastAsia="zh-CN"/>
              </w:rPr>
              <w:t>质保期</w:t>
            </w:r>
          </w:p>
        </w:tc>
        <w:tc>
          <w:tcPr>
            <w:tcW w:w="6793" w:type="dxa"/>
            <w:vAlign w:val="top"/>
          </w:tcPr>
          <w:p>
            <w:pPr>
              <w:pStyle w:val="10"/>
              <w:pageBreakBefore w:val="0"/>
              <w:kinsoku/>
              <w:overflowPunct/>
              <w:bidi w:val="0"/>
              <w:spacing w:line="360" w:lineRule="auto"/>
              <w:jc w:val="left"/>
              <w:rPr>
                <w:rFonts w:hint="eastAsia" w:cs="Tahoma"/>
                <w:b w:val="0"/>
                <w:bCs/>
                <w:color w:val="000000"/>
                <w:kern w:val="28"/>
                <w:sz w:val="21"/>
                <w:szCs w:val="21"/>
                <w:highlight w:val="none"/>
                <w:lang w:eastAsia="zh-CN"/>
              </w:rPr>
            </w:pPr>
            <w:r>
              <w:rPr>
                <w:rFonts w:hint="eastAsia" w:cs="Tahoma"/>
                <w:b w:val="0"/>
                <w:bCs/>
                <w:color w:val="000000"/>
                <w:kern w:val="28"/>
                <w:sz w:val="21"/>
                <w:szCs w:val="21"/>
                <w:highlight w:val="none"/>
                <w:lang w:eastAsia="zh-CN"/>
              </w:rPr>
              <w:t>质保期≥</w:t>
            </w:r>
            <w:r>
              <w:rPr>
                <w:rFonts w:hint="eastAsia" w:cs="Tahoma"/>
                <w:b w:val="0"/>
                <w:bCs/>
                <w:color w:val="000000"/>
                <w:kern w:val="28"/>
                <w:sz w:val="21"/>
                <w:szCs w:val="21"/>
                <w:highlight w:val="none"/>
                <w:lang w:val="en-US" w:eastAsia="zh-CN"/>
              </w:rPr>
              <w:t>1</w:t>
            </w:r>
            <w:r>
              <w:rPr>
                <w:rFonts w:hint="eastAsia" w:cs="Tahoma"/>
                <w:b w:val="0"/>
                <w:bCs/>
                <w:color w:val="000000"/>
                <w:kern w:val="28"/>
                <w:sz w:val="21"/>
                <w:szCs w:val="21"/>
                <w:highlight w:val="none"/>
                <w:lang w:eastAsia="zh-CN"/>
              </w:rPr>
              <w:t>年。质保期内非因采购人的人为原因而出现产品质量及安装问题，由成交供应商负责包修、包换或包退，并承担因此而产生的一切费用。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81" w:hRule="atLeast"/>
        </w:trPr>
        <w:tc>
          <w:tcPr>
            <w:tcW w:w="1707" w:type="dxa"/>
            <w:vAlign w:val="center"/>
          </w:tcPr>
          <w:p>
            <w:pPr>
              <w:pStyle w:val="10"/>
              <w:pageBreakBefore w:val="0"/>
              <w:kinsoku/>
              <w:overflowPunct/>
              <w:bidi w:val="0"/>
              <w:spacing w:line="360" w:lineRule="auto"/>
              <w:jc w:val="center"/>
              <w:rPr>
                <w:rFonts w:hint="eastAsia" w:cs="Tahoma"/>
                <w:b/>
                <w:bCs w:val="0"/>
                <w:color w:val="000000"/>
                <w:kern w:val="28"/>
                <w:sz w:val="21"/>
                <w:szCs w:val="21"/>
                <w:highlight w:val="none"/>
              </w:rPr>
            </w:pPr>
            <w:r>
              <w:rPr>
                <w:rFonts w:hint="eastAsia" w:cs="Tahoma"/>
                <w:b/>
                <w:bCs w:val="0"/>
                <w:color w:val="000000"/>
                <w:kern w:val="28"/>
                <w:sz w:val="21"/>
                <w:szCs w:val="21"/>
                <w:highlight w:val="none"/>
              </w:rPr>
              <w:t>履约保证金</w:t>
            </w:r>
          </w:p>
        </w:tc>
        <w:tc>
          <w:tcPr>
            <w:tcW w:w="6793" w:type="dxa"/>
            <w:vAlign w:val="top"/>
          </w:tcPr>
          <w:p>
            <w:pPr>
              <w:pStyle w:val="10"/>
              <w:pageBreakBefore w:val="0"/>
              <w:kinsoku/>
              <w:overflowPunct/>
              <w:bidi w:val="0"/>
              <w:spacing w:line="360" w:lineRule="auto"/>
              <w:jc w:val="left"/>
              <w:rPr>
                <w:rFonts w:hint="eastAsia" w:cs="Tahoma"/>
                <w:b w:val="0"/>
                <w:bCs/>
                <w:color w:val="000000"/>
                <w:kern w:val="28"/>
                <w:sz w:val="21"/>
                <w:szCs w:val="21"/>
                <w:highlight w:val="none"/>
                <w:lang w:eastAsia="zh-CN"/>
              </w:rPr>
            </w:pPr>
            <w:r>
              <w:rPr>
                <w:rFonts w:hint="eastAsia" w:cs="Tahoma"/>
                <w:b w:val="0"/>
                <w:bCs/>
                <w:color w:val="000000"/>
                <w:kern w:val="28"/>
                <w:sz w:val="21"/>
                <w:szCs w:val="21"/>
                <w:highlight w:val="none"/>
                <w:lang w:eastAsia="zh-CN"/>
              </w:rPr>
              <w:t>不收取。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81" w:hRule="atLeast"/>
        </w:trPr>
        <w:tc>
          <w:tcPr>
            <w:tcW w:w="1707" w:type="dxa"/>
            <w:vAlign w:val="center"/>
          </w:tcPr>
          <w:p>
            <w:pPr>
              <w:pageBreakBefore w:val="0"/>
              <w:widowControl/>
              <w:tabs>
                <w:tab w:val="left" w:pos="636"/>
              </w:tabs>
              <w:kinsoku/>
              <w:overflowPunct/>
              <w:autoSpaceDE w:val="0"/>
              <w:autoSpaceDN w:val="0"/>
              <w:bidi w:val="0"/>
              <w:spacing w:line="360" w:lineRule="auto"/>
              <w:jc w:val="center"/>
              <w:textAlignment w:val="bottom"/>
              <w:rPr>
                <w:rFonts w:hint="eastAsia" w:cs="Tahoma"/>
                <w:b/>
                <w:bCs w:val="0"/>
                <w:color w:val="000000"/>
                <w:kern w:val="28"/>
                <w:sz w:val="21"/>
                <w:szCs w:val="21"/>
                <w:highlight w:val="none"/>
              </w:rPr>
            </w:pPr>
            <w:r>
              <w:rPr>
                <w:rFonts w:hint="eastAsia" w:ascii="宋体" w:hAnsi="宋体" w:eastAsia="宋体" w:cs="宋体"/>
                <w:b/>
                <w:bCs w:val="0"/>
                <w:color w:val="auto"/>
                <w:sz w:val="21"/>
                <w:szCs w:val="21"/>
                <w:highlight w:val="none"/>
                <w:lang w:val="en-US" w:eastAsia="zh-CN"/>
              </w:rPr>
              <w:t>报价说明</w:t>
            </w:r>
          </w:p>
        </w:tc>
        <w:tc>
          <w:tcPr>
            <w:tcW w:w="6793" w:type="dxa"/>
            <w:vAlign w:val="top"/>
          </w:tcPr>
          <w:p>
            <w:pPr>
              <w:widowControl/>
              <w:spacing w:line="360" w:lineRule="auto"/>
              <w:jc w:val="left"/>
              <w:rPr>
                <w:rFonts w:hint="eastAsia" w:ascii="宋体" w:hAnsi="宋体" w:cs="宋体"/>
                <w:b w:val="0"/>
                <w:bCs/>
                <w:color w:val="000000"/>
                <w:szCs w:val="21"/>
              </w:rPr>
            </w:pPr>
            <w:r>
              <w:rPr>
                <w:rFonts w:hint="eastAsia" w:ascii="宋体" w:hAnsi="宋体" w:cs="宋体"/>
                <w:b w:val="0"/>
                <w:bCs/>
                <w:color w:val="000000"/>
                <w:szCs w:val="21"/>
              </w:rPr>
              <w:t>1.</w:t>
            </w:r>
            <w:r>
              <w:rPr>
                <w:rFonts w:hint="eastAsia" w:ascii="宋体" w:hAnsi="宋体" w:cs="宋体"/>
                <w:b w:val="0"/>
                <w:bCs/>
                <w:color w:val="000000"/>
                <w:szCs w:val="21"/>
                <w:lang w:eastAsia="zh-CN"/>
              </w:rPr>
              <w:t>成交供应商</w:t>
            </w:r>
            <w:r>
              <w:rPr>
                <w:rFonts w:hint="eastAsia" w:ascii="宋体" w:hAnsi="宋体" w:cs="宋体"/>
                <w:b w:val="0"/>
                <w:bCs/>
                <w:color w:val="000000"/>
                <w:szCs w:val="21"/>
              </w:rPr>
              <w:t>负责</w:t>
            </w:r>
            <w:r>
              <w:rPr>
                <w:rFonts w:hint="eastAsia" w:ascii="宋体" w:hAnsi="宋体" w:cs="宋体"/>
                <w:b w:val="0"/>
                <w:bCs/>
                <w:color w:val="000000"/>
                <w:szCs w:val="21"/>
                <w:lang w:eastAsia="zh-CN"/>
              </w:rPr>
              <w:t>采购文件</w:t>
            </w:r>
            <w:r>
              <w:rPr>
                <w:rFonts w:hint="eastAsia" w:ascii="宋体" w:hAnsi="宋体" w:cs="宋体"/>
                <w:b w:val="0"/>
                <w:bCs/>
                <w:color w:val="000000"/>
                <w:szCs w:val="21"/>
              </w:rPr>
              <w:t>对</w:t>
            </w:r>
            <w:r>
              <w:rPr>
                <w:rFonts w:hint="eastAsia" w:ascii="宋体" w:hAnsi="宋体" w:cs="宋体"/>
                <w:b w:val="0"/>
                <w:bCs/>
                <w:color w:val="000000"/>
                <w:szCs w:val="21"/>
                <w:lang w:eastAsia="zh-CN"/>
              </w:rPr>
              <w:t>成交供应商</w:t>
            </w:r>
            <w:r>
              <w:rPr>
                <w:rFonts w:hint="eastAsia" w:ascii="宋体" w:hAnsi="宋体" w:cs="宋体"/>
                <w:b w:val="0"/>
                <w:bCs/>
                <w:color w:val="000000"/>
                <w:szCs w:val="21"/>
              </w:rPr>
              <w:t>要求的一切事宜及责任，以及合同实施过程中的应预见和不可预见的一切费用。</w:t>
            </w:r>
          </w:p>
          <w:p>
            <w:pPr>
              <w:widowControl/>
              <w:spacing w:line="360" w:lineRule="auto"/>
              <w:jc w:val="left"/>
              <w:rPr>
                <w:rFonts w:hint="eastAsia" w:ascii="宋体" w:hAnsi="宋体" w:cs="宋体"/>
                <w:b w:val="0"/>
                <w:bCs/>
                <w:color w:val="000000"/>
                <w:szCs w:val="21"/>
              </w:rPr>
            </w:pPr>
            <w:r>
              <w:rPr>
                <w:rFonts w:hint="eastAsia" w:ascii="宋体" w:hAnsi="宋体" w:cs="宋体"/>
                <w:b w:val="0"/>
                <w:bCs/>
                <w:color w:val="000000"/>
                <w:szCs w:val="21"/>
              </w:rPr>
              <w:t>2.</w:t>
            </w:r>
            <w:r>
              <w:rPr>
                <w:rFonts w:hint="eastAsia" w:ascii="宋体" w:hAnsi="宋体" w:eastAsia="宋体" w:cs="宋体"/>
                <w:b w:val="0"/>
                <w:bCs/>
                <w:color w:val="auto"/>
                <w:spacing w:val="-3"/>
                <w:sz w:val="21"/>
                <w:szCs w:val="21"/>
                <w:highlight w:val="none"/>
                <w:lang w:val="en-US" w:eastAsia="zh-CN"/>
              </w:rPr>
              <w:t>本项目</w:t>
            </w:r>
            <w:r>
              <w:rPr>
                <w:rFonts w:hint="eastAsia" w:ascii="宋体" w:hAnsi="宋体" w:eastAsia="宋体" w:cs="宋体"/>
                <w:b w:val="0"/>
                <w:bCs/>
                <w:color w:val="auto"/>
                <w:spacing w:val="-3"/>
                <w:sz w:val="21"/>
                <w:szCs w:val="21"/>
                <w:highlight w:val="none"/>
              </w:rPr>
              <w:t>报价</w:t>
            </w:r>
            <w:r>
              <w:rPr>
                <w:rFonts w:hint="eastAsia" w:ascii="宋体" w:hAnsi="宋体" w:cs="宋体"/>
                <w:b w:val="0"/>
                <w:bCs/>
                <w:color w:val="000000"/>
                <w:szCs w:val="21"/>
              </w:rPr>
              <w:t>包括但不限于</w:t>
            </w:r>
            <w:r>
              <w:rPr>
                <w:rFonts w:hint="eastAsia" w:ascii="宋体" w:hAnsi="宋体" w:cs="宋体"/>
                <w:b w:val="0"/>
                <w:bCs/>
                <w:color w:val="000000"/>
                <w:szCs w:val="21"/>
                <w:lang w:eastAsia="zh-CN"/>
              </w:rPr>
              <w:t>货物</w:t>
            </w:r>
            <w:r>
              <w:rPr>
                <w:rFonts w:hint="eastAsia" w:ascii="宋体" w:hAnsi="宋体" w:cs="宋体"/>
                <w:b w:val="0"/>
                <w:bCs/>
                <w:color w:val="000000"/>
                <w:szCs w:val="21"/>
              </w:rPr>
              <w:t>成本、</w:t>
            </w:r>
            <w:r>
              <w:rPr>
                <w:rFonts w:hint="eastAsia" w:ascii="宋体" w:hAnsi="宋体" w:cs="宋体"/>
                <w:b w:val="0"/>
                <w:bCs/>
                <w:color w:val="000000"/>
                <w:szCs w:val="21"/>
                <w:lang w:eastAsia="zh-CN"/>
              </w:rPr>
              <w:t>包装、</w:t>
            </w:r>
            <w:r>
              <w:rPr>
                <w:rFonts w:hint="eastAsia" w:ascii="宋体" w:hAnsi="宋体" w:cs="宋体"/>
                <w:b w:val="0"/>
                <w:bCs/>
                <w:color w:val="000000"/>
                <w:szCs w:val="21"/>
              </w:rPr>
              <w:t>运输、安装调试及税金等在内的全部费用</w:t>
            </w:r>
            <w:r>
              <w:rPr>
                <w:rFonts w:hint="eastAsia" w:ascii="宋体" w:hAnsi="宋体" w:cs="宋体"/>
                <w:b w:val="0"/>
                <w:bCs/>
                <w:color w:val="000000"/>
                <w:szCs w:val="21"/>
                <w:lang w:eastAsia="zh-CN"/>
              </w:rPr>
              <w:t>，</w:t>
            </w:r>
            <w:r>
              <w:rPr>
                <w:rFonts w:hint="eastAsia" w:ascii="宋体" w:hAnsi="宋体" w:eastAsia="宋体" w:cs="宋体"/>
                <w:b w:val="0"/>
                <w:bCs/>
                <w:color w:val="auto"/>
                <w:sz w:val="21"/>
                <w:szCs w:val="21"/>
                <w:highlight w:val="none"/>
                <w:lang w:eastAsia="zh-CN"/>
              </w:rPr>
              <w:t>供应商对所有内容进行</w:t>
            </w:r>
            <w:r>
              <w:rPr>
                <w:rFonts w:hint="eastAsia" w:ascii="宋体" w:hAnsi="宋体" w:eastAsia="宋体" w:cs="宋体"/>
                <w:b w:val="0"/>
                <w:bCs/>
                <w:color w:val="auto"/>
                <w:sz w:val="21"/>
                <w:szCs w:val="21"/>
                <w:highlight w:val="none"/>
                <w:lang w:val="en-US" w:eastAsia="zh-CN"/>
              </w:rPr>
              <w:t>一次性</w:t>
            </w:r>
            <w:r>
              <w:rPr>
                <w:rFonts w:hint="eastAsia" w:ascii="宋体" w:hAnsi="宋体" w:eastAsia="宋体" w:cs="宋体"/>
                <w:b w:val="0"/>
                <w:bCs/>
                <w:color w:val="auto"/>
                <w:sz w:val="21"/>
                <w:szCs w:val="21"/>
                <w:highlight w:val="none"/>
                <w:lang w:eastAsia="zh-CN"/>
              </w:rPr>
              <w:t>报价。</w:t>
            </w:r>
            <w:r>
              <w:rPr>
                <w:rFonts w:hint="eastAsia" w:ascii="宋体" w:hAnsi="宋体" w:cs="宋体"/>
                <w:b w:val="0"/>
                <w:bCs/>
                <w:color w:val="000000"/>
                <w:szCs w:val="21"/>
                <w:lang w:eastAsia="zh-CN"/>
              </w:rPr>
              <w:t>供应商</w:t>
            </w:r>
            <w:r>
              <w:rPr>
                <w:rFonts w:hint="eastAsia" w:ascii="宋体" w:hAnsi="宋体" w:cs="宋体"/>
                <w:b w:val="0"/>
                <w:bCs/>
                <w:color w:val="000000"/>
                <w:szCs w:val="21"/>
              </w:rPr>
              <w:t>漏报或不报，采购人将视为该漏报或不报部分的费用已包括在已报的报价中而不予支付。</w:t>
            </w:r>
          </w:p>
          <w:p>
            <w:pPr>
              <w:widowControl/>
              <w:spacing w:line="360" w:lineRule="auto"/>
              <w:jc w:val="left"/>
              <w:rPr>
                <w:rFonts w:hint="eastAsia" w:cs="Tahoma"/>
                <w:b w:val="0"/>
                <w:bCs/>
                <w:color w:val="000000"/>
                <w:kern w:val="28"/>
                <w:sz w:val="21"/>
                <w:szCs w:val="21"/>
                <w:highlight w:val="none"/>
                <w:lang w:eastAsia="zh-CN"/>
              </w:rPr>
            </w:pPr>
            <w:r>
              <w:rPr>
                <w:rFonts w:hint="eastAsia" w:ascii="宋体" w:hAnsi="宋体" w:cs="宋体"/>
                <w:b w:val="0"/>
                <w:bCs/>
                <w:color w:val="000000"/>
                <w:szCs w:val="21"/>
              </w:rPr>
              <w:t>3.如果</w:t>
            </w:r>
            <w:r>
              <w:rPr>
                <w:rFonts w:hint="eastAsia" w:ascii="宋体" w:hAnsi="宋体" w:cs="宋体"/>
                <w:b w:val="0"/>
                <w:bCs/>
                <w:color w:val="000000"/>
                <w:szCs w:val="21"/>
                <w:lang w:eastAsia="zh-CN"/>
              </w:rPr>
              <w:t>供应商</w:t>
            </w:r>
            <w:r>
              <w:rPr>
                <w:rFonts w:hint="eastAsia" w:ascii="宋体" w:hAnsi="宋体" w:cs="宋体"/>
                <w:b w:val="0"/>
                <w:bCs/>
                <w:color w:val="000000"/>
                <w:szCs w:val="21"/>
              </w:rPr>
              <w:t>在合同履行过程中出现任何遗漏，均由</w:t>
            </w:r>
            <w:r>
              <w:rPr>
                <w:rFonts w:hint="eastAsia" w:ascii="宋体" w:hAnsi="宋体" w:cs="宋体"/>
                <w:b w:val="0"/>
                <w:bCs/>
                <w:color w:val="000000"/>
                <w:szCs w:val="21"/>
                <w:lang w:eastAsia="zh-CN"/>
              </w:rPr>
              <w:t>成交供应商</w:t>
            </w:r>
            <w:r>
              <w:rPr>
                <w:rFonts w:hint="eastAsia" w:ascii="宋体" w:hAnsi="宋体" w:cs="宋体"/>
                <w:b w:val="0"/>
                <w:bCs/>
                <w:color w:val="000000"/>
                <w:szCs w:val="21"/>
              </w:rPr>
              <w:t>负责提供，不再另外收</w:t>
            </w:r>
            <w:r>
              <w:rPr>
                <w:rFonts w:hint="eastAsia" w:ascii="宋体" w:hAnsi="宋体" w:cs="宋体"/>
                <w:b w:val="0"/>
                <w:bCs/>
                <w:szCs w:val="21"/>
              </w:rPr>
              <w:t>取费用。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381" w:hRule="atLeast"/>
        </w:trPr>
        <w:tc>
          <w:tcPr>
            <w:tcW w:w="1707" w:type="dxa"/>
            <w:vAlign w:val="center"/>
          </w:tcPr>
          <w:p>
            <w:pPr>
              <w:pageBreakBefore w:val="0"/>
              <w:widowControl/>
              <w:tabs>
                <w:tab w:val="left" w:pos="636"/>
              </w:tabs>
              <w:kinsoku/>
              <w:overflowPunct/>
              <w:autoSpaceDE w:val="0"/>
              <w:autoSpaceDN w:val="0"/>
              <w:bidi w:val="0"/>
              <w:spacing w:line="440" w:lineRule="exact"/>
              <w:jc w:val="center"/>
              <w:textAlignment w:val="bottom"/>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违约责任</w:t>
            </w:r>
          </w:p>
        </w:tc>
        <w:tc>
          <w:tcPr>
            <w:tcW w:w="6793" w:type="dxa"/>
            <w:vAlign w:val="top"/>
          </w:tcPr>
          <w:p>
            <w:pPr>
              <w:tabs>
                <w:tab w:val="decimal" w:pos="315"/>
                <w:tab w:val="left" w:pos="630"/>
              </w:tabs>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未能按时交货，每拖延一天，须向采购人支付合同金额的5‰的违约金，逾期超过7日未能交付货物，则向采购人支付合同金额的20%的违约金，同时采购人有权单方解除合同。</w:t>
            </w:r>
          </w:p>
          <w:p>
            <w:pPr>
              <w:tabs>
                <w:tab w:val="decimal" w:pos="315"/>
                <w:tab w:val="left" w:pos="630"/>
              </w:tabs>
              <w:spacing w:line="440" w:lineRule="exact"/>
              <w:rPr>
                <w:rFonts w:hint="eastAsia" w:ascii="宋体" w:hAnsi="宋体" w:cs="宋体"/>
                <w:b w:val="0"/>
                <w:bCs/>
                <w:color w:val="000000"/>
                <w:szCs w:val="21"/>
                <w:highlight w:val="none"/>
              </w:rPr>
            </w:pPr>
            <w:r>
              <w:rPr>
                <w:rFonts w:hint="eastAsia" w:ascii="宋体" w:hAnsi="宋体" w:eastAsia="宋体" w:cs="宋体"/>
                <w:color w:val="auto"/>
                <w:sz w:val="21"/>
                <w:szCs w:val="21"/>
                <w:highlight w:val="none"/>
              </w:rPr>
              <w:t>2</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交付的货物不符合项目规定的，采购人有权拒收，</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向采购人支付合同金额20%的违约金。因此导致采购人遭受损失（包括但不限于实际损失，预期利益损失，为维护其合法权益而支付的鉴定费、审计费、律师费、差旅费等费用）的，</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应对采购人承担赔偿责任。</w:t>
            </w:r>
          </w:p>
        </w:tc>
      </w:tr>
    </w:tbl>
    <w:p>
      <w:pPr>
        <w:keepNext w:val="0"/>
        <w:keepLines w:val="0"/>
        <w:widowControl/>
        <w:suppressLineNumbers w:val="0"/>
        <w:ind w:firstLine="560" w:firstLineChars="200"/>
        <w:jc w:val="left"/>
        <w:rPr>
          <w:rFonts w:hint="default" w:ascii="仿宋" w:hAnsi="仿宋" w:eastAsia="仿宋" w:cs="仿宋"/>
          <w:kern w:val="2"/>
          <w:sz w:val="28"/>
          <w:szCs w:val="28"/>
          <w:lang w:val="en-US" w:eastAsia="zh-CN" w:bidi="ar-SA"/>
        </w:rPr>
      </w:pPr>
    </w:p>
    <w:p/>
    <w:sectPr>
      <w:pgSz w:w="11906" w:h="16838"/>
      <w:pgMar w:top="1100" w:right="1519" w:bottom="1100"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E5B623"/>
    <w:multiLevelType w:val="singleLevel"/>
    <w:tmpl w:val="20E5B623"/>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E65574"/>
    <w:rsid w:val="1F1561A1"/>
    <w:rsid w:val="2871789A"/>
    <w:rsid w:val="4DB63360"/>
    <w:rsid w:val="54E6557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hAnsi="Times New Roman" w:cs="Times New Roman"/>
      <w:kern w:val="0"/>
      <w:sz w:val="24"/>
      <w:szCs w:val="24"/>
    </w:rPr>
  </w:style>
  <w:style w:type="paragraph" w:styleId="3">
    <w:name w:val="annotation text"/>
    <w:basedOn w:val="1"/>
    <w:uiPriority w:val="0"/>
    <w:pPr>
      <w:jc w:val="left"/>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9">
    <w:name w:val="投标正文小四"/>
    <w:basedOn w:val="1"/>
    <w:qFormat/>
    <w:uiPriority w:val="0"/>
    <w:pPr>
      <w:spacing w:line="360" w:lineRule="auto"/>
      <w:ind w:firstLine="200" w:firstLineChars="200"/>
    </w:pPr>
    <w:rPr>
      <w:sz w:val="24"/>
    </w:rPr>
  </w:style>
  <w:style w:type="paragraph" w:customStyle="1" w:styleId="10">
    <w:name w:val="正文1"/>
    <w:qFormat/>
    <w:uiPriority w:val="0"/>
    <w:pPr>
      <w:widowControl w:val="0"/>
      <w:adjustRightInd w:val="0"/>
      <w:spacing w:line="360" w:lineRule="atLeast"/>
      <w:jc w:val="both"/>
      <w:textAlignment w:val="baseline"/>
    </w:pPr>
    <w:rPr>
      <w:rFonts w:ascii="宋体" w:hAnsi="Times New Roman" w:eastAsia="宋体" w:cs="Times New Roman"/>
      <w:sz w:val="24"/>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2025-04-30T08:05:00Z</dcterms:created>
  <dc:creator>李铜光</dc:creator>
  <cp:lastModifiedBy>李铜光</cp:lastModifiedBy>
  <dcterms:modified xsi:type="dcterms:W3CDTF">2025-08-07T06:07:13Z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6AFB55B38AE44CC88F9B5C95436C790F_12</vt:lpwstr>
  </property>
</Properties>
</file>