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4B0F1">
      <w:pPr>
        <w:pStyle w:val="6"/>
        <w:rPr>
          <w:rFonts w:hint="eastAsia"/>
          <w:color w:val="000000"/>
        </w:rPr>
      </w:pPr>
      <w:r>
        <w:rPr>
          <w:rFonts w:hint="eastAsia"/>
          <w:color w:val="000000"/>
        </w:rPr>
        <w:t>附件3：</w:t>
      </w:r>
    </w:p>
    <w:p w14:paraId="2465FD62">
      <w:pPr>
        <w:spacing w:line="360" w:lineRule="auto"/>
        <w:ind w:firstLine="602" w:firstLineChars="200"/>
        <w:jc w:val="center"/>
        <w:rPr>
          <w:rFonts w:hint="eastAsia" w:ascii="宋体" w:hAnsi="宋体" w:cs="宋体"/>
          <w:b/>
          <w:bCs/>
          <w:sz w:val="30"/>
          <w:szCs w:val="30"/>
        </w:rPr>
      </w:pPr>
      <w:r>
        <w:rPr>
          <w:rFonts w:hint="eastAsia" w:ascii="宋体" w:hAnsi="宋体" w:cs="宋体"/>
          <w:b/>
          <w:bCs/>
          <w:sz w:val="30"/>
          <w:szCs w:val="30"/>
        </w:rPr>
        <w:t>评审方案</w:t>
      </w:r>
    </w:p>
    <w:p w14:paraId="606E936F">
      <w:pPr>
        <w:spacing w:line="360" w:lineRule="auto"/>
        <w:ind w:firstLine="422" w:firstLineChars="200"/>
        <w:rPr>
          <w:rFonts w:hint="eastAsia" w:ascii="宋体" w:hAnsi="宋体"/>
          <w:szCs w:val="21"/>
        </w:rPr>
      </w:pPr>
      <w:r>
        <w:rPr>
          <w:rFonts w:hint="eastAsia" w:ascii="宋体" w:hAnsi="宋体"/>
          <w:b/>
          <w:bCs/>
          <w:szCs w:val="21"/>
        </w:rPr>
        <w:t>1、评审步骤：</w:t>
      </w:r>
      <w:r>
        <w:rPr>
          <w:rFonts w:hint="eastAsia" w:ascii="宋体" w:hAnsi="宋体"/>
          <w:szCs w:val="21"/>
        </w:rPr>
        <w:t>评审小组对响应文件的评审分为初审（资格性和符合性审查，详见响应文件模版参考内容）和详细评审，初审通过才进入详细评审环节。</w:t>
      </w:r>
    </w:p>
    <w:p w14:paraId="79B0C92E">
      <w:pPr>
        <w:spacing w:line="360" w:lineRule="auto"/>
        <w:ind w:firstLine="420" w:firstLineChars="200"/>
        <w:rPr>
          <w:rFonts w:hint="eastAsia" w:ascii="宋体" w:hAnsi="宋体"/>
          <w:szCs w:val="21"/>
        </w:rPr>
      </w:pPr>
      <w:r>
        <w:rPr>
          <w:rFonts w:hint="eastAsia" w:ascii="宋体" w:hAnsi="宋体"/>
          <w:szCs w:val="21"/>
        </w:rPr>
        <w:t>2、详细评审时，根据评分表的内容，评审小组各成员应当独立对每个有效响应的文件进行评价、打分，从商务技术和价格方面进行综合评审。各成员评分的算术平均值即为该供应商的商务技术得分。得分按四舍五入规则，精确到小数点后2位。</w:t>
      </w:r>
    </w:p>
    <w:p w14:paraId="0F633A6A">
      <w:pPr>
        <w:spacing w:line="360" w:lineRule="auto"/>
        <w:ind w:firstLine="422" w:firstLineChars="200"/>
        <w:rPr>
          <w:rFonts w:hint="eastAsia" w:ascii="宋体" w:hAnsi="宋体"/>
          <w:szCs w:val="21"/>
        </w:rPr>
      </w:pPr>
      <w:r>
        <w:rPr>
          <w:rFonts w:hint="eastAsia" w:ascii="宋体" w:hAnsi="宋体"/>
          <w:b/>
          <w:bCs/>
          <w:szCs w:val="21"/>
        </w:rPr>
        <w:t>3、评审总得分＝商务技术得分+响应报价得分</w:t>
      </w:r>
      <w:r>
        <w:rPr>
          <w:rFonts w:hint="eastAsia" w:ascii="宋体" w:hAnsi="宋体"/>
          <w:szCs w:val="21"/>
        </w:rPr>
        <w:t>　　</w:t>
      </w:r>
    </w:p>
    <w:p w14:paraId="12A64BB6">
      <w:pPr>
        <w:spacing w:line="360" w:lineRule="auto"/>
        <w:ind w:firstLine="422" w:firstLineChars="200"/>
        <w:rPr>
          <w:rFonts w:hint="eastAsia" w:ascii="宋体" w:hAnsi="宋体"/>
          <w:szCs w:val="21"/>
        </w:rPr>
      </w:pPr>
      <w:r>
        <w:rPr>
          <w:rFonts w:hint="eastAsia" w:ascii="宋体" w:hAnsi="宋体"/>
          <w:b/>
          <w:bCs/>
          <w:szCs w:val="21"/>
        </w:rPr>
        <w:t>4、</w:t>
      </w:r>
      <w:r>
        <w:rPr>
          <w:rFonts w:hint="eastAsia" w:ascii="宋体" w:hAnsi="宋体"/>
          <w:szCs w:val="21"/>
        </w:rPr>
        <w:t>评审小组按评审得分由高到低进行排序，</w:t>
      </w:r>
      <w:r>
        <w:rPr>
          <w:rFonts w:hint="eastAsia" w:ascii="宋体" w:hAnsi="宋体" w:eastAsia="宋体" w:cs="Times New Roman"/>
          <w:kern w:val="2"/>
          <w:sz w:val="21"/>
          <w:szCs w:val="21"/>
        </w:rPr>
        <w:t>排名第一的</w:t>
      </w:r>
      <w:r>
        <w:rPr>
          <w:rFonts w:hint="eastAsia" w:ascii="宋体" w:hAnsi="宋体" w:eastAsia="宋体" w:cs="Times New Roman"/>
          <w:kern w:val="2"/>
          <w:sz w:val="21"/>
          <w:szCs w:val="21"/>
          <w:lang w:eastAsia="zh-CN"/>
        </w:rPr>
        <w:t>供应商</w:t>
      </w:r>
      <w:r>
        <w:rPr>
          <w:rFonts w:hint="eastAsia" w:ascii="宋体" w:hAnsi="宋体" w:eastAsia="宋体" w:cs="Times New Roman"/>
          <w:kern w:val="2"/>
          <w:sz w:val="21"/>
          <w:szCs w:val="21"/>
        </w:rPr>
        <w:t>推荐为</w:t>
      </w:r>
      <w:r>
        <w:rPr>
          <w:rFonts w:hint="eastAsia" w:ascii="宋体" w:hAnsi="宋体" w:eastAsia="宋体" w:cs="Times New Roman"/>
          <w:kern w:val="2"/>
          <w:sz w:val="21"/>
          <w:szCs w:val="21"/>
          <w:lang w:eastAsia="zh-CN"/>
        </w:rPr>
        <w:t>第一成交候选人</w:t>
      </w:r>
      <w:r>
        <w:rPr>
          <w:rFonts w:hint="eastAsia" w:ascii="宋体" w:hAnsi="宋体"/>
          <w:szCs w:val="21"/>
        </w:rPr>
        <w:t>，排名第二的供应商</w:t>
      </w:r>
      <w:r>
        <w:rPr>
          <w:rFonts w:hint="eastAsia" w:ascii="宋体" w:hAnsi="宋体"/>
          <w:szCs w:val="21"/>
          <w:lang w:eastAsia="zh-CN"/>
        </w:rPr>
        <w:t>推荐</w:t>
      </w:r>
      <w:r>
        <w:rPr>
          <w:rFonts w:hint="eastAsia" w:ascii="宋体" w:hAnsi="宋体"/>
          <w:szCs w:val="21"/>
        </w:rPr>
        <w:t>为第二成交候选人，排名第三的供应商</w:t>
      </w:r>
      <w:r>
        <w:rPr>
          <w:rFonts w:hint="eastAsia" w:ascii="宋体" w:hAnsi="宋体"/>
          <w:szCs w:val="21"/>
          <w:lang w:eastAsia="zh-CN"/>
        </w:rPr>
        <w:t>推荐</w:t>
      </w:r>
      <w:r>
        <w:rPr>
          <w:rFonts w:hint="eastAsia" w:ascii="宋体" w:hAnsi="宋体"/>
          <w:szCs w:val="21"/>
        </w:rPr>
        <w:t>为第三成交候选人。出现综合总得分并列时，按下列顺序比较确定：（1）报价（由低到高）；（2）商务技术评分（由高到低）。如以上都相同的，由全体评审专家投票确定名次。</w:t>
      </w:r>
    </w:p>
    <w:p w14:paraId="0C1D405E">
      <w:pPr>
        <w:spacing w:line="360" w:lineRule="auto"/>
        <w:ind w:firstLine="422" w:firstLineChars="200"/>
        <w:rPr>
          <w:rFonts w:hint="eastAsia" w:ascii="宋体" w:hAnsi="宋体"/>
          <w:b/>
          <w:bCs/>
          <w:szCs w:val="21"/>
        </w:rPr>
      </w:pPr>
      <w:r>
        <w:rPr>
          <w:rFonts w:hint="eastAsia" w:ascii="宋体" w:hAnsi="宋体"/>
          <w:b/>
          <w:bCs/>
          <w:szCs w:val="21"/>
        </w:rPr>
        <w:t>5、响应文件的澄清</w:t>
      </w:r>
    </w:p>
    <w:p w14:paraId="6C12F6C2">
      <w:pPr>
        <w:spacing w:line="360" w:lineRule="auto"/>
        <w:ind w:firstLine="420" w:firstLineChars="200"/>
        <w:rPr>
          <w:rFonts w:hint="eastAsia" w:ascii="宋体" w:hAnsi="宋体"/>
          <w:szCs w:val="21"/>
        </w:rPr>
      </w:pPr>
      <w:r>
        <w:rPr>
          <w:rFonts w:hint="eastAsia" w:ascii="宋体" w:hAnsi="宋体"/>
          <w:szCs w:val="21"/>
        </w:rPr>
        <w:t>评审期间，对响应文件中含义不明确、同类问题表述不一致或者有明显文字和计算错误的内容，评审小组可以书面形式（应当由评审小组专家签字）要求供应商作出必要的澄清、说明或者纠正，但不得允许供应商对响应报价等实质性内容做任何更改。供应商的澄清、说明或者纠正应当采用书面形式，由其授权的代表签字，并不得超出响应文件的范围或者改变响应文件的实质性内容。有关澄清的答复均应由供应商的法定代表人或授权代表签名的书面形式作出。供应商的澄清文件是其响应文件的组成部分。</w:t>
      </w:r>
    </w:p>
    <w:p w14:paraId="04F7D01C">
      <w:pPr>
        <w:spacing w:line="360" w:lineRule="auto"/>
        <w:ind w:firstLine="422" w:firstLineChars="200"/>
      </w:pPr>
      <w:r>
        <w:rPr>
          <w:rFonts w:hint="eastAsia" w:ascii="宋体" w:hAnsi="宋体"/>
          <w:b/>
          <w:bCs/>
          <w:szCs w:val="21"/>
        </w:rPr>
        <w:t>6、</w:t>
      </w:r>
      <w:r>
        <w:rPr>
          <w:rFonts w:hint="eastAsia" w:ascii="宋体" w:hAnsi="宋体"/>
          <w:szCs w:val="21"/>
        </w:rPr>
        <w:t>评审专家按照总得分由高到低的顺序推荐中选人名单。</w:t>
      </w:r>
      <w:r>
        <w:rPr>
          <w:rFonts w:hint="eastAsia" w:ascii="宋体" w:hAnsi="宋体" w:eastAsia="宋体" w:cs="Times New Roman"/>
          <w:kern w:val="2"/>
          <w:sz w:val="21"/>
          <w:szCs w:val="21"/>
        </w:rPr>
        <w:t>排名第一的</w:t>
      </w:r>
      <w:r>
        <w:rPr>
          <w:rFonts w:hint="eastAsia" w:ascii="宋体" w:hAnsi="宋体" w:eastAsia="宋体" w:cs="Times New Roman"/>
          <w:kern w:val="2"/>
          <w:sz w:val="21"/>
          <w:szCs w:val="21"/>
          <w:lang w:eastAsia="zh-CN"/>
        </w:rPr>
        <w:t>供应商</w:t>
      </w:r>
      <w:r>
        <w:rPr>
          <w:rFonts w:hint="eastAsia" w:ascii="宋体" w:hAnsi="宋体" w:eastAsia="宋体" w:cs="Times New Roman"/>
          <w:kern w:val="2"/>
          <w:sz w:val="21"/>
          <w:szCs w:val="21"/>
        </w:rPr>
        <w:t>推荐为</w:t>
      </w:r>
      <w:r>
        <w:rPr>
          <w:rFonts w:hint="eastAsia" w:ascii="宋体" w:hAnsi="宋体" w:eastAsia="宋体" w:cs="Times New Roman"/>
          <w:kern w:val="2"/>
          <w:sz w:val="21"/>
          <w:szCs w:val="21"/>
          <w:lang w:eastAsia="zh-CN"/>
        </w:rPr>
        <w:t>第一成交候选人</w:t>
      </w:r>
      <w:r>
        <w:rPr>
          <w:rFonts w:hint="eastAsia" w:ascii="宋体" w:hAnsi="宋体"/>
          <w:szCs w:val="21"/>
        </w:rPr>
        <w:t>。如果推荐的成交供应商放弃中选资格或不能履行合同的，则采购人在法律法规允许的情况下可按中选人排名顺序依次确定递补中选人资格，或重新组织采购。</w:t>
      </w:r>
    </w:p>
    <w:p w14:paraId="1894FB2D">
      <w:pPr>
        <w:spacing w:line="480" w:lineRule="auto"/>
        <w:jc w:val="center"/>
        <w:rPr>
          <w:rFonts w:hint="eastAsia" w:ascii="宋体" w:hAnsi="宋体" w:cs="宋体"/>
          <w:b/>
          <w:bCs/>
          <w:sz w:val="28"/>
          <w:szCs w:val="28"/>
        </w:rPr>
      </w:pPr>
    </w:p>
    <w:p w14:paraId="6871BC47">
      <w:pPr>
        <w:spacing w:line="480" w:lineRule="auto"/>
        <w:jc w:val="center"/>
        <w:rPr>
          <w:rFonts w:hint="eastAsia" w:ascii="宋体" w:hAnsi="宋体" w:eastAsia="宋体" w:cs="宋体"/>
          <w:b/>
          <w:bCs/>
          <w:sz w:val="28"/>
          <w:szCs w:val="28"/>
        </w:rPr>
      </w:pPr>
      <w:r>
        <w:rPr>
          <w:rFonts w:hint="eastAsia" w:ascii="宋体" w:hAnsi="宋体" w:cs="宋体"/>
          <w:b/>
          <w:bCs/>
          <w:sz w:val="28"/>
          <w:szCs w:val="28"/>
        </w:rPr>
        <w:t>附表：</w:t>
      </w:r>
      <w:r>
        <w:rPr>
          <w:rFonts w:hint="eastAsia" w:ascii="宋体" w:hAnsi="宋体" w:eastAsia="宋体" w:cs="宋体"/>
          <w:b/>
          <w:bCs/>
          <w:sz w:val="28"/>
          <w:szCs w:val="28"/>
        </w:rPr>
        <w:t>中山市黄圃人民医院202</w:t>
      </w: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-2027年度车辆维修保养服务</w:t>
      </w:r>
    </w:p>
    <w:p w14:paraId="6A0AF3F8">
      <w:pPr>
        <w:spacing w:line="480" w:lineRule="auto"/>
        <w:jc w:val="center"/>
        <w:rPr>
          <w:rFonts w:hint="eastAsia" w:ascii="宋体" w:hAnsi="宋体" w:cs="宋体"/>
          <w:b/>
          <w:bCs/>
          <w:sz w:val="28"/>
          <w:szCs w:val="28"/>
        </w:rPr>
      </w:pPr>
      <w:r>
        <w:rPr>
          <w:rFonts w:hint="eastAsia" w:ascii="宋体" w:hAnsi="宋体" w:eastAsia="宋体" w:cs="宋体"/>
          <w:b/>
          <w:bCs/>
          <w:sz w:val="28"/>
          <w:szCs w:val="28"/>
        </w:rPr>
        <w:t>采购项目</w:t>
      </w:r>
      <w:r>
        <w:rPr>
          <w:rFonts w:hint="eastAsia" w:ascii="宋体" w:hAnsi="宋体" w:cs="宋体"/>
          <w:b/>
          <w:bCs/>
          <w:sz w:val="28"/>
          <w:szCs w:val="28"/>
        </w:rPr>
        <w:t>评分表</w:t>
      </w:r>
    </w:p>
    <w:p w14:paraId="4F255044">
      <w:pPr>
        <w:pStyle w:val="6"/>
      </w:pPr>
    </w:p>
    <w:tbl>
      <w:tblPr>
        <w:tblStyle w:val="12"/>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734"/>
        <w:gridCol w:w="6240"/>
        <w:gridCol w:w="653"/>
      </w:tblGrid>
      <w:tr w14:paraId="0D213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221" w:type="dxa"/>
            <w:vAlign w:val="center"/>
          </w:tcPr>
          <w:p w14:paraId="0C9639AA">
            <w:pPr>
              <w:pStyle w:val="9"/>
              <w:tabs>
                <w:tab w:val="clear" w:pos="4153"/>
                <w:tab w:val="clear" w:pos="8306"/>
              </w:tabs>
              <w:snapToGrid/>
              <w:spacing w:line="360" w:lineRule="exact"/>
              <w:jc w:val="center"/>
              <w:rPr>
                <w:rFonts w:hint="eastAsia" w:ascii="宋体" w:hAnsi="宋体" w:eastAsia="宋体" w:cs="宋体"/>
                <w:b/>
                <w:bCs/>
                <w:sz w:val="21"/>
                <w:szCs w:val="21"/>
                <w:lang w:eastAsia="zh-CN"/>
              </w:rPr>
            </w:pPr>
            <w:bookmarkStart w:id="0" w:name="OLE_LINK2"/>
            <w:r>
              <w:rPr>
                <w:rFonts w:hint="eastAsia" w:ascii="宋体" w:hAnsi="宋体" w:cs="宋体"/>
                <w:b/>
                <w:bCs/>
                <w:sz w:val="21"/>
                <w:szCs w:val="21"/>
                <w:lang w:eastAsia="zh-CN"/>
              </w:rPr>
              <w:t>评审因素</w:t>
            </w:r>
          </w:p>
        </w:tc>
        <w:tc>
          <w:tcPr>
            <w:tcW w:w="1734" w:type="dxa"/>
            <w:vAlign w:val="center"/>
          </w:tcPr>
          <w:p w14:paraId="0563F4C3">
            <w:pPr>
              <w:pStyle w:val="9"/>
              <w:tabs>
                <w:tab w:val="clear" w:pos="4153"/>
                <w:tab w:val="clear" w:pos="8306"/>
              </w:tabs>
              <w:snapToGrid/>
              <w:spacing w:line="360" w:lineRule="exact"/>
              <w:jc w:val="center"/>
              <w:rPr>
                <w:rFonts w:hint="eastAsia" w:ascii="宋体" w:hAnsi="宋体" w:eastAsia="宋体" w:cs="宋体"/>
                <w:b/>
                <w:bCs/>
                <w:sz w:val="21"/>
                <w:szCs w:val="21"/>
                <w:lang w:eastAsia="zh-CN"/>
              </w:rPr>
            </w:pPr>
            <w:r>
              <w:rPr>
                <w:rFonts w:hint="eastAsia" w:ascii="宋体" w:hAnsi="宋体" w:cs="宋体"/>
                <w:b/>
                <w:bCs/>
                <w:sz w:val="21"/>
                <w:szCs w:val="21"/>
              </w:rPr>
              <w:t>评审</w:t>
            </w:r>
            <w:r>
              <w:rPr>
                <w:rFonts w:hint="eastAsia" w:ascii="宋体" w:hAnsi="宋体" w:cs="宋体"/>
                <w:b/>
                <w:bCs/>
                <w:sz w:val="21"/>
                <w:szCs w:val="21"/>
                <w:lang w:eastAsia="zh-CN"/>
              </w:rPr>
              <w:t>项目</w:t>
            </w:r>
          </w:p>
        </w:tc>
        <w:tc>
          <w:tcPr>
            <w:tcW w:w="6240" w:type="dxa"/>
            <w:vAlign w:val="center"/>
          </w:tcPr>
          <w:p w14:paraId="6E86C3F6">
            <w:pPr>
              <w:pStyle w:val="9"/>
              <w:tabs>
                <w:tab w:val="clear" w:pos="4153"/>
                <w:tab w:val="clear" w:pos="8306"/>
              </w:tabs>
              <w:snapToGrid/>
              <w:spacing w:line="360" w:lineRule="exact"/>
              <w:jc w:val="center"/>
              <w:rPr>
                <w:rFonts w:hint="eastAsia" w:ascii="宋体" w:hAnsi="宋体" w:cs="宋体"/>
                <w:b/>
                <w:bCs/>
                <w:sz w:val="21"/>
                <w:szCs w:val="21"/>
              </w:rPr>
            </w:pPr>
            <w:r>
              <w:rPr>
                <w:rFonts w:hint="eastAsia" w:ascii="宋体" w:hAnsi="宋体" w:cs="宋体"/>
                <w:b/>
                <w:bCs/>
                <w:sz w:val="21"/>
                <w:szCs w:val="21"/>
              </w:rPr>
              <w:t>评审细则</w:t>
            </w:r>
          </w:p>
        </w:tc>
        <w:tc>
          <w:tcPr>
            <w:tcW w:w="653" w:type="dxa"/>
            <w:vAlign w:val="center"/>
          </w:tcPr>
          <w:p w14:paraId="78E8E077">
            <w:pPr>
              <w:pStyle w:val="9"/>
              <w:tabs>
                <w:tab w:val="clear" w:pos="4153"/>
                <w:tab w:val="clear" w:pos="8306"/>
              </w:tabs>
              <w:snapToGrid/>
              <w:spacing w:line="360" w:lineRule="exact"/>
              <w:jc w:val="center"/>
              <w:rPr>
                <w:rFonts w:hint="eastAsia" w:ascii="宋体" w:hAnsi="宋体" w:cs="宋体"/>
                <w:b/>
                <w:bCs/>
                <w:sz w:val="21"/>
                <w:szCs w:val="21"/>
              </w:rPr>
            </w:pPr>
            <w:r>
              <w:rPr>
                <w:rFonts w:hint="eastAsia" w:ascii="宋体" w:hAnsi="宋体" w:cs="宋体"/>
                <w:b/>
                <w:bCs/>
                <w:sz w:val="21"/>
                <w:szCs w:val="21"/>
              </w:rPr>
              <w:t>分值</w:t>
            </w:r>
          </w:p>
        </w:tc>
      </w:tr>
      <w:tr w14:paraId="5D74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221" w:type="dxa"/>
            <w:vMerge w:val="restart"/>
            <w:vAlign w:val="center"/>
          </w:tcPr>
          <w:p w14:paraId="24FCEEC5">
            <w:pPr>
              <w:tabs>
                <w:tab w:val="decimal" w:pos="315"/>
                <w:tab w:val="left" w:pos="630"/>
              </w:tabs>
              <w:spacing w:line="360" w:lineRule="exact"/>
              <w:jc w:val="center"/>
              <w:rPr>
                <w:rFonts w:hint="eastAsia" w:ascii="宋体" w:hAnsi="宋体" w:cs="宋体"/>
                <w:b/>
                <w:bCs/>
                <w:szCs w:val="21"/>
              </w:rPr>
            </w:pPr>
            <w:r>
              <w:rPr>
                <w:rFonts w:hint="eastAsia" w:ascii="宋体" w:hAnsi="宋体" w:cs="宋体"/>
                <w:b/>
                <w:bCs/>
                <w:spacing w:val="15"/>
                <w:kern w:val="0"/>
                <w:szCs w:val="21"/>
                <w:shd w:val="clear" w:color="auto" w:fill="FFFFFF"/>
                <w:lang w:eastAsia="zh-CN"/>
              </w:rPr>
              <w:t>商务</w:t>
            </w:r>
            <w:r>
              <w:rPr>
                <w:rFonts w:hint="eastAsia" w:ascii="宋体" w:hAnsi="宋体" w:cs="宋体"/>
                <w:b/>
                <w:bCs/>
                <w:spacing w:val="15"/>
                <w:kern w:val="0"/>
                <w:szCs w:val="21"/>
                <w:shd w:val="clear" w:color="auto" w:fill="FFFFFF"/>
              </w:rPr>
              <w:t>技术部分</w:t>
            </w:r>
          </w:p>
        </w:tc>
        <w:tc>
          <w:tcPr>
            <w:tcW w:w="1734" w:type="dxa"/>
            <w:vAlign w:val="center"/>
          </w:tcPr>
          <w:p w14:paraId="2783D8E6">
            <w:pPr>
              <w:tabs>
                <w:tab w:val="decimal" w:pos="315"/>
                <w:tab w:val="left" w:pos="630"/>
              </w:tabs>
              <w:spacing w:line="360" w:lineRule="exact"/>
              <w:jc w:val="center"/>
              <w:rPr>
                <w:rFonts w:hint="eastAsia" w:ascii="宋体" w:hAnsi="宋体"/>
                <w:szCs w:val="21"/>
              </w:rPr>
            </w:pPr>
            <w:r>
              <w:rPr>
                <w:rFonts w:hint="eastAsia" w:ascii="宋体" w:hAnsi="宋体" w:eastAsia="宋体" w:cs="宋体"/>
                <w:color w:val="auto"/>
                <w:sz w:val="21"/>
                <w:szCs w:val="21"/>
                <w:highlight w:val="none"/>
              </w:rPr>
              <w:t>同类项目业绩</w:t>
            </w:r>
          </w:p>
        </w:tc>
        <w:tc>
          <w:tcPr>
            <w:tcW w:w="6240" w:type="dxa"/>
            <w:vAlign w:val="center"/>
          </w:tcPr>
          <w:p w14:paraId="1B3BB1AF">
            <w:pPr>
              <w:widowControl/>
              <w:tabs>
                <w:tab w:val="decimal" w:pos="315"/>
                <w:tab w:val="left" w:pos="630"/>
              </w:tabs>
              <w:spacing w:line="36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投标人自</w:t>
            </w: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2</w:t>
            </w:r>
            <w:r>
              <w:rPr>
                <w:rFonts w:hint="eastAsia" w:ascii="宋体" w:hAnsi="宋体" w:eastAsia="宋体" w:cs="宋体"/>
                <w:sz w:val="21"/>
                <w:szCs w:val="21"/>
                <w:highlight w:val="none"/>
                <w:lang w:val="en-US" w:eastAsia="zh-CN"/>
              </w:rPr>
              <w:t>年1月1日以来（以合同签订日期为准）承接过同类项目业绩的，每提供一个项目业绩得2分，最多得6分。</w:t>
            </w:r>
          </w:p>
          <w:p w14:paraId="183B1840">
            <w:pPr>
              <w:widowControl/>
              <w:tabs>
                <w:tab w:val="decimal" w:pos="315"/>
                <w:tab w:val="left" w:pos="630"/>
              </w:tabs>
              <w:spacing w:line="360" w:lineRule="exact"/>
              <w:jc w:val="left"/>
              <w:rPr>
                <w:rFonts w:hint="eastAsia" w:ascii="宋体" w:hAnsi="宋体" w:cs="宋体"/>
                <w:bCs/>
                <w:szCs w:val="21"/>
              </w:rPr>
            </w:pPr>
            <w:r>
              <w:rPr>
                <w:rFonts w:hint="eastAsia" w:ascii="宋体" w:hAnsi="宋体" w:cs="宋体"/>
                <w:sz w:val="21"/>
                <w:szCs w:val="21"/>
                <w:highlight w:val="none"/>
                <w:lang w:val="en-US" w:eastAsia="zh-CN"/>
              </w:rPr>
              <w:t>注：</w:t>
            </w:r>
            <w:r>
              <w:rPr>
                <w:rFonts w:hint="eastAsia" w:ascii="宋体" w:hAnsi="宋体" w:eastAsia="宋体" w:cs="宋体"/>
                <w:sz w:val="21"/>
                <w:szCs w:val="21"/>
                <w:highlight w:val="none"/>
                <w:lang w:val="en-US" w:eastAsia="zh-CN"/>
              </w:rPr>
              <w:t>响应文件中提供</w:t>
            </w:r>
            <w:r>
              <w:rPr>
                <w:rFonts w:hint="eastAsia" w:ascii="宋体" w:hAnsi="宋体" w:cs="宋体"/>
                <w:sz w:val="21"/>
                <w:szCs w:val="21"/>
                <w:highlight w:val="none"/>
                <w:lang w:val="en-US" w:eastAsia="zh-CN"/>
              </w:rPr>
              <w:t>同类项目</w:t>
            </w:r>
            <w:r>
              <w:rPr>
                <w:rFonts w:hint="eastAsia" w:ascii="宋体" w:hAnsi="宋体" w:eastAsia="宋体" w:cs="宋体"/>
                <w:sz w:val="21"/>
                <w:szCs w:val="21"/>
                <w:highlight w:val="none"/>
                <w:lang w:val="en-US" w:eastAsia="zh-CN"/>
              </w:rPr>
              <w:t>合同</w:t>
            </w:r>
            <w:r>
              <w:rPr>
                <w:rFonts w:hint="eastAsia" w:ascii="宋体" w:hAnsi="宋体" w:cs="宋体"/>
                <w:sz w:val="21"/>
                <w:szCs w:val="21"/>
                <w:highlight w:val="none"/>
                <w:lang w:val="en-US" w:eastAsia="zh-CN"/>
              </w:rPr>
              <w:t>关键页</w:t>
            </w:r>
            <w:r>
              <w:rPr>
                <w:rFonts w:hint="eastAsia" w:ascii="宋体" w:hAnsi="宋体" w:eastAsia="宋体" w:cs="宋体"/>
                <w:sz w:val="21"/>
                <w:szCs w:val="21"/>
                <w:highlight w:val="none"/>
                <w:lang w:val="en-US" w:eastAsia="zh-CN"/>
              </w:rPr>
              <w:t>复印件</w:t>
            </w:r>
            <w:r>
              <w:rPr>
                <w:rFonts w:hint="eastAsia" w:ascii="宋体" w:hAnsi="宋体" w:eastAsia="宋体" w:cs="宋体"/>
                <w:b/>
                <w:bCs/>
                <w:sz w:val="21"/>
                <w:szCs w:val="21"/>
                <w:highlight w:val="none"/>
                <w:lang w:val="en-US" w:eastAsia="zh-CN"/>
              </w:rPr>
              <w:t>（</w:t>
            </w:r>
            <w:r>
              <w:rPr>
                <w:rFonts w:hint="eastAsia" w:ascii="宋体" w:hAnsi="宋体" w:eastAsia="宋体" w:cs="宋体"/>
                <w:b/>
                <w:bCs/>
                <w:kern w:val="2"/>
                <w:sz w:val="21"/>
                <w:szCs w:val="21"/>
                <w:highlight w:val="none"/>
                <w:lang w:val="en-US" w:eastAsia="zh-CN" w:bidi="ar-SA"/>
              </w:rPr>
              <w:t>至少含合同首页、盖章页、项目内容</w:t>
            </w:r>
            <w:r>
              <w:rPr>
                <w:rFonts w:hint="eastAsia" w:ascii="宋体" w:hAnsi="宋体" w:eastAsia="宋体" w:cs="宋体"/>
                <w:b/>
                <w:bCs/>
                <w:sz w:val="21"/>
                <w:szCs w:val="21"/>
                <w:highlight w:val="none"/>
                <w:lang w:val="en-US" w:eastAsia="zh-CN"/>
              </w:rPr>
              <w:t>）</w:t>
            </w:r>
            <w:r>
              <w:rPr>
                <w:rFonts w:hint="eastAsia" w:ascii="宋体" w:hAnsi="宋体" w:eastAsia="宋体" w:cs="宋体"/>
                <w:sz w:val="21"/>
                <w:szCs w:val="21"/>
                <w:highlight w:val="none"/>
                <w:lang w:val="en-US" w:eastAsia="zh-CN"/>
              </w:rPr>
              <w:t>并加盖供应商公章。</w:t>
            </w:r>
            <w:r>
              <w:rPr>
                <w:rFonts w:hint="eastAsia" w:ascii="宋体" w:hAnsi="宋体" w:cs="宋体"/>
                <w:sz w:val="21"/>
                <w:szCs w:val="21"/>
                <w:highlight w:val="none"/>
                <w:lang w:val="en-US" w:eastAsia="zh-CN"/>
              </w:rPr>
              <w:t>不</w:t>
            </w:r>
            <w:r>
              <w:rPr>
                <w:rFonts w:hint="eastAsia" w:ascii="宋体" w:hAnsi="宋体" w:eastAsia="宋体" w:cs="宋体"/>
                <w:b w:val="0"/>
                <w:bCs w:val="0"/>
                <w:kern w:val="2"/>
                <w:sz w:val="21"/>
                <w:szCs w:val="21"/>
                <w:highlight w:val="none"/>
                <w:lang w:val="en-US" w:eastAsia="zh-CN" w:bidi="ar-SA"/>
              </w:rPr>
              <w:t>提供或未按照要求提供的不得分。</w:t>
            </w:r>
          </w:p>
        </w:tc>
        <w:tc>
          <w:tcPr>
            <w:tcW w:w="653" w:type="dxa"/>
            <w:vAlign w:val="center"/>
          </w:tcPr>
          <w:p w14:paraId="114B9DDF">
            <w:pPr>
              <w:spacing w:line="360" w:lineRule="exact"/>
              <w:jc w:val="center"/>
            </w:pPr>
            <w:r>
              <w:rPr>
                <w:rFonts w:hint="eastAsia"/>
                <w:lang w:val="en-US" w:eastAsia="zh-CN"/>
              </w:rPr>
              <w:t>6</w:t>
            </w:r>
            <w:r>
              <w:rPr>
                <w:rFonts w:hint="eastAsia"/>
              </w:rPr>
              <w:t>分</w:t>
            </w:r>
          </w:p>
        </w:tc>
      </w:tr>
      <w:tr w14:paraId="4C29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7" w:hRule="atLeast"/>
          <w:jc w:val="center"/>
        </w:trPr>
        <w:tc>
          <w:tcPr>
            <w:tcW w:w="1221" w:type="dxa"/>
            <w:vMerge w:val="continue"/>
            <w:vAlign w:val="center"/>
          </w:tcPr>
          <w:p w14:paraId="6DAB6C5C">
            <w:pPr>
              <w:tabs>
                <w:tab w:val="decimal" w:pos="315"/>
                <w:tab w:val="left" w:pos="630"/>
              </w:tabs>
              <w:spacing w:line="360" w:lineRule="exact"/>
              <w:jc w:val="center"/>
              <w:rPr>
                <w:rFonts w:hint="eastAsia" w:ascii="宋体" w:hAnsi="宋体"/>
                <w:b/>
                <w:bCs/>
                <w:szCs w:val="21"/>
              </w:rPr>
            </w:pPr>
          </w:p>
        </w:tc>
        <w:tc>
          <w:tcPr>
            <w:tcW w:w="1734" w:type="dxa"/>
            <w:vAlign w:val="center"/>
          </w:tcPr>
          <w:p w14:paraId="62F834D4">
            <w:pPr>
              <w:tabs>
                <w:tab w:val="decimal" w:pos="315"/>
                <w:tab w:val="left" w:pos="630"/>
              </w:tabs>
              <w:spacing w:line="360" w:lineRule="exact"/>
              <w:jc w:val="center"/>
              <w:rPr>
                <w:rFonts w:hint="eastAsia" w:ascii="宋体" w:hAnsi="宋体"/>
                <w:szCs w:val="21"/>
              </w:rPr>
            </w:pPr>
            <w:r>
              <w:rPr>
                <w:rFonts w:hint="eastAsia" w:ascii="宋体" w:hAnsi="宋体" w:eastAsia="宋体" w:cs="宋体"/>
                <w:sz w:val="21"/>
                <w:szCs w:val="21"/>
                <w:lang w:val="en-US"/>
              </w:rPr>
              <w:t>投入本项目专业人员实力</w:t>
            </w:r>
          </w:p>
        </w:tc>
        <w:tc>
          <w:tcPr>
            <w:tcW w:w="6240" w:type="dxa"/>
            <w:vAlign w:val="center"/>
          </w:tcPr>
          <w:p w14:paraId="0FF30BD4">
            <w:pPr>
              <w:widowControl/>
              <w:tabs>
                <w:tab w:val="decimal" w:pos="315"/>
                <w:tab w:val="left" w:pos="630"/>
              </w:tabs>
              <w:spacing w:line="36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评审小组根据</w:t>
            </w:r>
            <w:r>
              <w:rPr>
                <w:rFonts w:hint="eastAsia" w:ascii="宋体" w:hAnsi="宋体" w:cs="宋体"/>
                <w:sz w:val="21"/>
                <w:szCs w:val="21"/>
                <w:highlight w:val="none"/>
                <w:lang w:val="en-US" w:eastAsia="zh-CN"/>
              </w:rPr>
              <w:t>供应商</w:t>
            </w:r>
            <w:r>
              <w:rPr>
                <w:rFonts w:hint="eastAsia" w:ascii="宋体" w:hAnsi="宋体" w:eastAsia="宋体" w:cs="宋体"/>
                <w:sz w:val="21"/>
                <w:szCs w:val="21"/>
                <w:lang w:val="en-US"/>
              </w:rPr>
              <w:t>投入本项目</w:t>
            </w:r>
            <w:r>
              <w:rPr>
                <w:rFonts w:hint="eastAsia" w:ascii="宋体" w:hAnsi="宋体" w:eastAsia="宋体" w:cs="宋体"/>
                <w:sz w:val="21"/>
                <w:szCs w:val="21"/>
                <w:lang w:val="en-US" w:eastAsia="zh-CN"/>
              </w:rPr>
              <w:t>的</w:t>
            </w:r>
            <w:r>
              <w:rPr>
                <w:rFonts w:hint="eastAsia" w:ascii="宋体" w:hAnsi="宋体" w:eastAsia="宋体" w:cs="宋体"/>
                <w:sz w:val="21"/>
                <w:szCs w:val="21"/>
                <w:lang w:val="en-US"/>
              </w:rPr>
              <w:t>专业人员实力</w:t>
            </w:r>
            <w:r>
              <w:rPr>
                <w:rFonts w:hint="eastAsia" w:ascii="宋体" w:hAnsi="宋体" w:cs="宋体"/>
                <w:sz w:val="21"/>
                <w:szCs w:val="21"/>
                <w:highlight w:val="none"/>
                <w:lang w:val="en-US" w:eastAsia="zh-CN"/>
              </w:rPr>
              <w:t>情况</w:t>
            </w:r>
            <w:r>
              <w:rPr>
                <w:rFonts w:hint="eastAsia" w:ascii="宋体" w:hAnsi="宋体" w:eastAsia="宋体" w:cs="宋体"/>
                <w:sz w:val="21"/>
                <w:szCs w:val="21"/>
                <w:highlight w:val="none"/>
                <w:lang w:val="en-US" w:eastAsia="zh-CN"/>
              </w:rPr>
              <w:t>进行评审：</w:t>
            </w:r>
          </w:p>
          <w:p w14:paraId="4957FD38">
            <w:pPr>
              <w:widowControl/>
              <w:tabs>
                <w:tab w:val="decimal" w:pos="315"/>
                <w:tab w:val="left" w:pos="630"/>
              </w:tabs>
              <w:spacing w:line="36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投入本项目服务的车辆维修从业人员具有汽车维修上岗证（或同类性质的证件），每提供一名得1分</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本项最多</w:t>
            </w:r>
            <w:r>
              <w:rPr>
                <w:rFonts w:hint="eastAsia" w:ascii="宋体" w:hAnsi="宋体" w:cs="宋体"/>
                <w:sz w:val="21"/>
                <w:szCs w:val="21"/>
                <w:highlight w:val="none"/>
                <w:lang w:val="en-US" w:eastAsia="zh-CN"/>
              </w:rPr>
              <w:t>得</w:t>
            </w:r>
            <w:r>
              <w:rPr>
                <w:rFonts w:hint="eastAsia" w:ascii="宋体" w:hAnsi="宋体" w:eastAsia="宋体" w:cs="宋体"/>
                <w:sz w:val="21"/>
                <w:szCs w:val="21"/>
                <w:highlight w:val="none"/>
                <w:lang w:val="en-US" w:eastAsia="zh-CN"/>
              </w:rPr>
              <w:t>3分</w:t>
            </w:r>
            <w:r>
              <w:rPr>
                <w:rFonts w:hint="eastAsia" w:ascii="宋体" w:hAnsi="宋体" w:cs="宋体"/>
                <w:sz w:val="21"/>
                <w:szCs w:val="21"/>
                <w:highlight w:val="none"/>
                <w:lang w:val="en-US" w:eastAsia="zh-CN"/>
              </w:rPr>
              <w:t>。</w:t>
            </w:r>
          </w:p>
          <w:p w14:paraId="54D19FC3">
            <w:pPr>
              <w:widowControl/>
              <w:tabs>
                <w:tab w:val="decimal" w:pos="315"/>
                <w:tab w:val="left" w:pos="630"/>
              </w:tabs>
              <w:spacing w:line="36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注：提供人员相关证书复印件加盖</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公章及</w:t>
            </w:r>
            <w:r>
              <w:rPr>
                <w:rFonts w:hint="eastAsia" w:ascii="宋体" w:hAnsi="宋体" w:cs="宋体"/>
                <w:sz w:val="21"/>
                <w:szCs w:val="21"/>
                <w:highlight w:val="none"/>
                <w:lang w:val="en-US" w:eastAsia="zh-CN"/>
              </w:rPr>
              <w:t>响应</w:t>
            </w:r>
            <w:r>
              <w:rPr>
                <w:rFonts w:hint="eastAsia" w:ascii="宋体" w:hAnsi="宋体" w:eastAsia="宋体" w:cs="宋体"/>
                <w:sz w:val="21"/>
                <w:szCs w:val="21"/>
                <w:highlight w:val="none"/>
                <w:lang w:val="en-US" w:eastAsia="zh-CN"/>
              </w:rPr>
              <w:t>截止时间前12个月内</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为其购买任意一个月的社保证明</w:t>
            </w:r>
            <w:r>
              <w:rPr>
                <w:rFonts w:hint="eastAsia" w:ascii="宋体" w:hAnsi="宋体" w:cs="宋体"/>
                <w:sz w:val="21"/>
                <w:szCs w:val="21"/>
                <w:highlight w:val="none"/>
                <w:lang w:val="en-US" w:eastAsia="zh-CN"/>
              </w:rPr>
              <w:t>文件</w:t>
            </w:r>
            <w:r>
              <w:rPr>
                <w:rFonts w:hint="eastAsia" w:ascii="宋体" w:hAnsi="宋体" w:eastAsia="宋体" w:cs="宋体"/>
                <w:sz w:val="21"/>
                <w:szCs w:val="21"/>
                <w:highlight w:val="none"/>
                <w:lang w:val="en-US" w:eastAsia="zh-CN"/>
              </w:rPr>
              <w:t>复印件或劳务合同复印件等可证明</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与其劳务关系的证明材料加盖公章。</w:t>
            </w:r>
            <w:r>
              <w:rPr>
                <w:rFonts w:hint="eastAsia" w:ascii="宋体" w:hAnsi="宋体" w:eastAsia="宋体" w:cs="宋体"/>
                <w:b/>
                <w:bCs w:val="0"/>
                <w:kern w:val="2"/>
                <w:sz w:val="21"/>
                <w:szCs w:val="21"/>
                <w:highlight w:val="none"/>
                <w:lang w:val="en-US" w:eastAsia="zh-CN" w:bidi="ar-SA"/>
              </w:rPr>
              <w:t>如果供应商未能提供社保证明文件复印件或能证明双方建立劳务关系的证明材料的，可在响应文件中提供相关承诺，格式自拟</w:t>
            </w:r>
            <w:r>
              <w:rPr>
                <w:rFonts w:hint="eastAsia" w:ascii="宋体" w:hAnsi="宋体" w:eastAsia="宋体" w:cs="宋体"/>
                <w:b w:val="0"/>
                <w:bCs/>
                <w:kern w:val="2"/>
                <w:sz w:val="21"/>
                <w:szCs w:val="21"/>
                <w:highlight w:val="none"/>
                <w:lang w:val="en-US" w:eastAsia="zh-CN" w:bidi="ar-SA"/>
              </w:rPr>
              <w:t>(承诺书内容包括但不限于以下内容:若我单位</w:t>
            </w:r>
            <w:r>
              <w:rPr>
                <w:rFonts w:hint="eastAsia" w:ascii="宋体" w:hAnsi="宋体" w:cs="宋体"/>
                <w:b w:val="0"/>
                <w:bCs/>
                <w:kern w:val="2"/>
                <w:sz w:val="21"/>
                <w:szCs w:val="21"/>
                <w:highlight w:val="none"/>
                <w:lang w:val="en-US" w:eastAsia="zh-CN" w:bidi="ar-SA"/>
              </w:rPr>
              <w:t>成交</w:t>
            </w:r>
            <w:r>
              <w:rPr>
                <w:rFonts w:hint="eastAsia" w:ascii="宋体" w:hAnsi="宋体" w:eastAsia="宋体" w:cs="宋体"/>
                <w:b w:val="0"/>
                <w:bCs/>
                <w:kern w:val="2"/>
                <w:sz w:val="21"/>
                <w:szCs w:val="21"/>
                <w:highlight w:val="none"/>
                <w:lang w:val="en-US" w:eastAsia="zh-CN" w:bidi="ar-SA"/>
              </w:rPr>
              <w:t>，合同签订时保证按</w:t>
            </w:r>
            <w:r>
              <w:rPr>
                <w:rFonts w:hint="eastAsia" w:ascii="宋体" w:hAnsi="宋体" w:cs="宋体"/>
                <w:b w:val="0"/>
                <w:bCs/>
                <w:kern w:val="2"/>
                <w:sz w:val="21"/>
                <w:szCs w:val="21"/>
                <w:highlight w:val="none"/>
                <w:lang w:val="en-US" w:eastAsia="zh-CN" w:bidi="ar-SA"/>
              </w:rPr>
              <w:t>响应</w:t>
            </w:r>
            <w:r>
              <w:rPr>
                <w:rFonts w:hint="eastAsia" w:ascii="宋体" w:hAnsi="宋体" w:eastAsia="宋体" w:cs="宋体"/>
                <w:b w:val="0"/>
                <w:bCs/>
                <w:kern w:val="2"/>
                <w:sz w:val="21"/>
                <w:szCs w:val="21"/>
                <w:highlight w:val="none"/>
                <w:lang w:val="en-US" w:eastAsia="zh-CN" w:bidi="ar-SA"/>
              </w:rPr>
              <w:t>文件中所配备的人员到位并提供以上拟派人员的社保证明文件或劳务合同，否则视为我单位放弃</w:t>
            </w:r>
            <w:r>
              <w:rPr>
                <w:rFonts w:hint="eastAsia" w:ascii="宋体" w:hAnsi="宋体" w:cs="宋体"/>
                <w:b w:val="0"/>
                <w:bCs/>
                <w:kern w:val="2"/>
                <w:sz w:val="21"/>
                <w:szCs w:val="21"/>
                <w:highlight w:val="none"/>
                <w:lang w:val="en-US" w:eastAsia="zh-CN" w:bidi="ar-SA"/>
              </w:rPr>
              <w:t>成交</w:t>
            </w:r>
            <w:r>
              <w:rPr>
                <w:rFonts w:hint="eastAsia" w:ascii="宋体" w:hAnsi="宋体" w:eastAsia="宋体" w:cs="宋体"/>
                <w:b w:val="0"/>
                <w:bCs/>
                <w:kern w:val="2"/>
                <w:sz w:val="21"/>
                <w:szCs w:val="21"/>
                <w:highlight w:val="none"/>
                <w:lang w:val="en-US" w:eastAsia="zh-CN" w:bidi="ar-SA"/>
              </w:rPr>
              <w:t>资格)，视为满足</w:t>
            </w:r>
            <w:r>
              <w:rPr>
                <w:rFonts w:hint="eastAsia" w:ascii="宋体" w:hAnsi="宋体" w:cs="宋体"/>
                <w:b w:val="0"/>
                <w:bCs/>
                <w:kern w:val="2"/>
                <w:sz w:val="21"/>
                <w:szCs w:val="21"/>
                <w:highlight w:val="none"/>
                <w:lang w:val="en-US" w:eastAsia="zh-CN" w:bidi="ar-SA"/>
              </w:rPr>
              <w:t>社保或劳务关系证明</w:t>
            </w:r>
            <w:r>
              <w:rPr>
                <w:rFonts w:hint="eastAsia" w:ascii="宋体" w:hAnsi="宋体" w:eastAsia="宋体" w:cs="宋体"/>
                <w:b w:val="0"/>
                <w:bCs/>
                <w:kern w:val="2"/>
                <w:sz w:val="21"/>
                <w:szCs w:val="21"/>
                <w:highlight w:val="none"/>
                <w:lang w:val="en-US" w:eastAsia="zh-CN" w:bidi="ar-SA"/>
              </w:rPr>
              <w:t>评审要求，不提供不得分。</w:t>
            </w:r>
            <w:r>
              <w:rPr>
                <w:rFonts w:hint="eastAsia" w:ascii="宋体" w:hAnsi="宋体" w:cs="宋体"/>
                <w:b w:val="0"/>
                <w:bCs/>
                <w:kern w:val="2"/>
                <w:sz w:val="21"/>
                <w:szCs w:val="21"/>
                <w:highlight w:val="none"/>
                <w:lang w:val="en-US" w:eastAsia="zh-CN" w:bidi="ar-SA"/>
              </w:rPr>
              <w:t>）</w:t>
            </w:r>
          </w:p>
          <w:p w14:paraId="59C1A61D">
            <w:pPr>
              <w:widowControl/>
              <w:tabs>
                <w:tab w:val="decimal" w:pos="315"/>
                <w:tab w:val="left" w:pos="630"/>
              </w:tabs>
              <w:spacing w:line="360" w:lineRule="exact"/>
              <w:jc w:val="left"/>
              <w:rPr>
                <w:rFonts w:hint="eastAsia" w:ascii="宋体" w:hAnsi="宋体" w:cs="宋体"/>
                <w:bCs/>
                <w:szCs w:val="21"/>
              </w:rPr>
            </w:pPr>
            <w:r>
              <w:rPr>
                <w:rFonts w:hint="eastAsia" w:ascii="宋体" w:hAnsi="宋体" w:eastAsia="宋体" w:cs="宋体"/>
                <w:sz w:val="21"/>
                <w:szCs w:val="21"/>
                <w:highlight w:val="none"/>
                <w:lang w:val="en-US" w:eastAsia="zh-CN"/>
              </w:rPr>
              <w:t>不</w:t>
            </w:r>
            <w:r>
              <w:rPr>
                <w:rFonts w:hint="eastAsia" w:ascii="宋体" w:hAnsi="宋体" w:eastAsia="宋体" w:cs="宋体"/>
                <w:b w:val="0"/>
                <w:bCs w:val="0"/>
                <w:kern w:val="2"/>
                <w:sz w:val="21"/>
                <w:szCs w:val="21"/>
                <w:highlight w:val="none"/>
                <w:lang w:val="en-US" w:eastAsia="zh-CN" w:bidi="ar-SA"/>
              </w:rPr>
              <w:t>提供或未按照要求提供的不得分。</w:t>
            </w:r>
          </w:p>
        </w:tc>
        <w:tc>
          <w:tcPr>
            <w:tcW w:w="653" w:type="dxa"/>
            <w:vAlign w:val="center"/>
          </w:tcPr>
          <w:p w14:paraId="4BA69426">
            <w:pPr>
              <w:spacing w:line="360" w:lineRule="exact"/>
              <w:jc w:val="center"/>
            </w:pPr>
            <w:r>
              <w:rPr>
                <w:rFonts w:hint="eastAsia"/>
                <w:lang w:val="en-US" w:eastAsia="zh-CN"/>
              </w:rPr>
              <w:t>3</w:t>
            </w:r>
            <w:r>
              <w:rPr>
                <w:rFonts w:hint="eastAsia"/>
              </w:rPr>
              <w:t>分</w:t>
            </w:r>
          </w:p>
        </w:tc>
      </w:tr>
      <w:tr w14:paraId="15332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1221" w:type="dxa"/>
            <w:vMerge w:val="continue"/>
            <w:vAlign w:val="center"/>
          </w:tcPr>
          <w:p w14:paraId="4F694D1A">
            <w:pPr>
              <w:tabs>
                <w:tab w:val="decimal" w:pos="315"/>
                <w:tab w:val="left" w:pos="630"/>
              </w:tabs>
              <w:spacing w:line="360" w:lineRule="exact"/>
              <w:jc w:val="center"/>
              <w:rPr>
                <w:rFonts w:hint="eastAsia" w:ascii="宋体" w:hAnsi="宋体"/>
                <w:b/>
                <w:bCs/>
                <w:szCs w:val="21"/>
              </w:rPr>
            </w:pPr>
          </w:p>
        </w:tc>
        <w:tc>
          <w:tcPr>
            <w:tcW w:w="1734" w:type="dxa"/>
            <w:vAlign w:val="center"/>
          </w:tcPr>
          <w:p w14:paraId="47FE8945">
            <w:pPr>
              <w:tabs>
                <w:tab w:val="decimal" w:pos="315"/>
                <w:tab w:val="left" w:pos="630"/>
              </w:tabs>
              <w:spacing w:line="360" w:lineRule="exact"/>
              <w:jc w:val="center"/>
              <w:rPr>
                <w:rFonts w:hint="eastAsia" w:ascii="宋体" w:hAnsi="宋体"/>
                <w:szCs w:val="21"/>
              </w:rPr>
            </w:pP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lang w:val="en-US" w:eastAsia="zh-CN"/>
              </w:rPr>
              <w:t>需求条款的响应情况</w:t>
            </w:r>
          </w:p>
        </w:tc>
        <w:tc>
          <w:tcPr>
            <w:tcW w:w="6240" w:type="dxa"/>
            <w:vAlign w:val="center"/>
          </w:tcPr>
          <w:p w14:paraId="5F51F2DE">
            <w:pPr>
              <w:pStyle w:val="6"/>
              <w:widowControl/>
              <w:spacing w:line="36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考核</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对</w:t>
            </w:r>
            <w:r>
              <w:rPr>
                <w:rFonts w:hint="eastAsia" w:ascii="宋体" w:hAnsi="宋体" w:cs="宋体"/>
                <w:sz w:val="21"/>
                <w:szCs w:val="21"/>
                <w:highlight w:val="none"/>
                <w:lang w:val="en-US" w:eastAsia="zh-CN"/>
              </w:rPr>
              <w:t>项目</w:t>
            </w:r>
            <w:r>
              <w:rPr>
                <w:rFonts w:hint="eastAsia" w:ascii="宋体" w:hAnsi="宋体" w:eastAsia="宋体" w:cs="宋体"/>
                <w:sz w:val="21"/>
                <w:szCs w:val="21"/>
                <w:highlight w:val="none"/>
                <w:lang w:val="en-US" w:eastAsia="zh-CN"/>
              </w:rPr>
              <w:t>需求书中</w:t>
            </w:r>
            <w:r>
              <w:rPr>
                <w:rFonts w:hint="eastAsia" w:ascii="宋体" w:hAnsi="宋体" w:eastAsia="宋体" w:cs="宋体"/>
                <w:color w:val="auto"/>
                <w:sz w:val="21"/>
                <w:szCs w:val="21"/>
                <w:highlight w:val="none"/>
                <w:lang w:val="en-US" w:eastAsia="zh-CN"/>
              </w:rPr>
              <w:t>的</w:t>
            </w:r>
            <w:r>
              <w:rPr>
                <w:rFonts w:hint="eastAsia" w:ascii="宋体" w:hAnsi="宋体" w:eastAsia="宋体" w:cs="宋体"/>
                <w:b/>
                <w:bCs/>
                <w:color w:val="auto"/>
                <w:sz w:val="21"/>
                <w:szCs w:val="21"/>
                <w:highlight w:val="none"/>
                <w:lang w:val="en-US" w:eastAsia="zh-CN"/>
              </w:rPr>
              <w:t>“三、项目服务要求</w:t>
            </w:r>
            <w:r>
              <w:rPr>
                <w:rFonts w:hint="eastAsia" w:ascii="宋体" w:hAnsi="宋体" w:cs="宋体"/>
                <w:b/>
                <w:bCs/>
                <w:color w:val="auto"/>
                <w:sz w:val="21"/>
                <w:szCs w:val="21"/>
                <w:highlight w:val="none"/>
                <w:lang w:val="en-US" w:eastAsia="zh-CN"/>
              </w:rPr>
              <w:t>第2-11条</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sz w:val="21"/>
                <w:szCs w:val="21"/>
                <w:highlight w:val="none"/>
                <w:lang w:val="en-US" w:eastAsia="zh-CN"/>
              </w:rPr>
              <w:t>响应程度。</w:t>
            </w:r>
          </w:p>
          <w:p w14:paraId="2988BD78">
            <w:pPr>
              <w:pStyle w:val="6"/>
              <w:spacing w:line="360" w:lineRule="exact"/>
              <w:rPr>
                <w:rFonts w:hint="eastAsia"/>
                <w:lang w:val="en-US" w:eastAsia="zh-CN"/>
              </w:rPr>
            </w:pPr>
            <w:r>
              <w:rPr>
                <w:rFonts w:hint="eastAsia" w:ascii="宋体" w:hAnsi="宋体" w:eastAsia="宋体" w:cs="宋体"/>
                <w:sz w:val="21"/>
                <w:szCs w:val="21"/>
                <w:highlight w:val="none"/>
                <w:lang w:val="en-US" w:eastAsia="zh-CN" w:bidi="zh-CN"/>
              </w:rPr>
              <w:t>1.完全响应</w:t>
            </w:r>
            <w:r>
              <w:rPr>
                <w:rFonts w:hint="eastAsia" w:ascii="宋体" w:hAnsi="宋体" w:eastAsia="宋体" w:cs="宋体"/>
                <w:color w:val="auto"/>
                <w:sz w:val="21"/>
                <w:szCs w:val="21"/>
                <w:highlight w:val="none"/>
                <w:lang w:val="en-US" w:eastAsia="zh-CN"/>
              </w:rPr>
              <w:t>“三、项目服务要求</w:t>
            </w:r>
            <w:r>
              <w:rPr>
                <w:rFonts w:hint="eastAsia" w:ascii="宋体" w:hAnsi="宋体" w:cs="宋体"/>
                <w:color w:val="auto"/>
                <w:sz w:val="21"/>
                <w:szCs w:val="21"/>
                <w:highlight w:val="none"/>
                <w:lang w:val="en-US" w:eastAsia="zh-CN"/>
              </w:rPr>
              <w:t>第2-11条</w:t>
            </w:r>
            <w:r>
              <w:rPr>
                <w:rFonts w:hint="eastAsia" w:ascii="宋体" w:hAnsi="宋体" w:eastAsia="宋体" w:cs="宋体"/>
                <w:color w:val="auto"/>
                <w:sz w:val="21"/>
                <w:szCs w:val="21"/>
                <w:highlight w:val="none"/>
                <w:lang w:val="en-US" w:eastAsia="zh-CN"/>
              </w:rPr>
              <w:t>”</w:t>
            </w:r>
            <w:r>
              <w:rPr>
                <w:rFonts w:hint="eastAsia" w:ascii="宋体" w:hAnsi="宋体" w:eastAsia="宋体" w:cs="宋体"/>
                <w:sz w:val="21"/>
                <w:szCs w:val="21"/>
                <w:highlight w:val="none"/>
                <w:lang w:val="en-US" w:eastAsia="zh-CN" w:bidi="zh-CN"/>
              </w:rPr>
              <w:t>要求的得</w:t>
            </w:r>
            <w:r>
              <w:rPr>
                <w:rFonts w:hint="eastAsia" w:cs="宋体"/>
                <w:sz w:val="21"/>
                <w:szCs w:val="21"/>
                <w:highlight w:val="none"/>
                <w:lang w:val="en-US" w:eastAsia="zh-CN" w:bidi="zh-CN"/>
              </w:rPr>
              <w:t>12</w:t>
            </w:r>
            <w:r>
              <w:rPr>
                <w:rFonts w:hint="eastAsia" w:ascii="宋体" w:hAnsi="宋体" w:eastAsia="宋体" w:cs="宋体"/>
                <w:sz w:val="21"/>
                <w:szCs w:val="21"/>
                <w:highlight w:val="none"/>
                <w:lang w:val="en-US" w:eastAsia="zh-CN" w:bidi="zh-CN"/>
              </w:rPr>
              <w:t xml:space="preserve">分； </w:t>
            </w:r>
          </w:p>
          <w:p w14:paraId="006A8A5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Chars="0"/>
              <w:textAlignment w:val="auto"/>
              <w:rPr>
                <w:rFonts w:hint="eastAsia" w:ascii="宋体" w:hAnsi="宋体" w:eastAsia="宋体" w:cs="宋体"/>
                <w:sz w:val="21"/>
                <w:szCs w:val="21"/>
                <w:highlight w:val="none"/>
                <w:lang w:val="en-US" w:eastAsia="zh-CN" w:bidi="zh-CN"/>
              </w:rPr>
            </w:pPr>
            <w:r>
              <w:rPr>
                <w:rFonts w:hint="eastAsia" w:ascii="宋体" w:hAnsi="宋体" w:eastAsia="宋体" w:cs="宋体"/>
                <w:sz w:val="21"/>
                <w:szCs w:val="21"/>
                <w:highlight w:val="none"/>
                <w:lang w:val="en-US" w:eastAsia="zh-CN" w:bidi="zh-CN"/>
              </w:rPr>
              <w:t>2.本</w:t>
            </w:r>
            <w:r>
              <w:rPr>
                <w:rFonts w:hint="eastAsia" w:cs="宋体"/>
                <w:sz w:val="21"/>
                <w:szCs w:val="21"/>
                <w:highlight w:val="none"/>
                <w:lang w:val="en-US" w:eastAsia="zh-CN" w:bidi="zh-CN"/>
              </w:rPr>
              <w:t>项目需求</w:t>
            </w:r>
            <w:r>
              <w:rPr>
                <w:rFonts w:hint="eastAsia" w:ascii="宋体" w:hAnsi="宋体" w:eastAsia="宋体" w:cs="宋体"/>
                <w:color w:val="auto"/>
                <w:sz w:val="21"/>
                <w:szCs w:val="21"/>
                <w:highlight w:val="none"/>
                <w:lang w:val="en-US" w:eastAsia="zh-CN"/>
              </w:rPr>
              <w:t>“三、项目服务要求</w:t>
            </w:r>
            <w:r>
              <w:rPr>
                <w:rFonts w:hint="eastAsia" w:ascii="宋体" w:hAnsi="宋体" w:cs="宋体"/>
                <w:color w:val="auto"/>
                <w:sz w:val="21"/>
                <w:szCs w:val="21"/>
                <w:highlight w:val="none"/>
                <w:lang w:val="en-US" w:eastAsia="zh-CN"/>
              </w:rPr>
              <w:t>第2-11条</w:t>
            </w:r>
            <w:r>
              <w:rPr>
                <w:rFonts w:hint="eastAsia" w:ascii="宋体" w:hAnsi="宋体" w:eastAsia="宋体" w:cs="宋体"/>
                <w:color w:val="auto"/>
                <w:sz w:val="21"/>
                <w:szCs w:val="21"/>
                <w:highlight w:val="none"/>
                <w:lang w:val="en-US" w:eastAsia="zh-CN"/>
              </w:rPr>
              <w:t>”中</w:t>
            </w:r>
            <w:r>
              <w:rPr>
                <w:rFonts w:hint="eastAsia" w:ascii="宋体" w:hAnsi="宋体" w:eastAsia="宋体" w:cs="宋体"/>
                <w:sz w:val="21"/>
                <w:szCs w:val="21"/>
                <w:highlight w:val="none"/>
                <w:lang w:val="en-US" w:eastAsia="zh-CN" w:bidi="zh-CN"/>
              </w:rPr>
              <w:t>“▲”号条款参数共</w:t>
            </w:r>
            <w:r>
              <w:rPr>
                <w:rFonts w:hint="eastAsia" w:cs="宋体"/>
                <w:sz w:val="21"/>
                <w:szCs w:val="21"/>
                <w:highlight w:val="none"/>
                <w:lang w:val="en-US" w:eastAsia="zh-CN" w:bidi="zh-CN"/>
              </w:rPr>
              <w:t xml:space="preserve"> 1 </w:t>
            </w:r>
            <w:r>
              <w:rPr>
                <w:rFonts w:hint="eastAsia" w:ascii="宋体" w:hAnsi="宋体" w:eastAsia="宋体" w:cs="宋体"/>
                <w:sz w:val="21"/>
                <w:szCs w:val="21"/>
                <w:highlight w:val="none"/>
                <w:lang w:val="en-US" w:eastAsia="zh-CN" w:bidi="zh-CN"/>
              </w:rPr>
              <w:t>条，</w:t>
            </w:r>
            <w:r>
              <w:rPr>
                <w:rFonts w:hint="eastAsia" w:ascii="宋体" w:hAnsi="宋体" w:eastAsia="宋体" w:cs="宋体"/>
                <w:sz w:val="21"/>
                <w:szCs w:val="21"/>
                <w:highlight w:val="none"/>
                <w:lang w:val="en-US" w:eastAsia="zh-CN"/>
              </w:rPr>
              <w:t>每负偏离一项扣</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分，扣完为止，</w:t>
            </w:r>
            <w:r>
              <w:rPr>
                <w:rFonts w:hint="eastAsia" w:ascii="宋体" w:hAnsi="宋体" w:eastAsia="宋体" w:cs="宋体"/>
                <w:sz w:val="21"/>
                <w:szCs w:val="21"/>
                <w:highlight w:val="none"/>
                <w:lang w:val="en-US" w:eastAsia="zh-CN" w:bidi="zh-CN"/>
              </w:rPr>
              <w:t>本小项共</w:t>
            </w:r>
            <w:r>
              <w:rPr>
                <w:rFonts w:hint="eastAsia" w:cs="宋体"/>
                <w:sz w:val="21"/>
                <w:szCs w:val="21"/>
                <w:highlight w:val="none"/>
                <w:lang w:val="en-US" w:eastAsia="zh-CN" w:bidi="zh-CN"/>
              </w:rPr>
              <w:t xml:space="preserve"> 3 </w:t>
            </w:r>
            <w:r>
              <w:rPr>
                <w:rFonts w:hint="eastAsia" w:ascii="宋体" w:hAnsi="宋体" w:eastAsia="宋体" w:cs="宋体"/>
                <w:sz w:val="21"/>
                <w:szCs w:val="21"/>
                <w:highlight w:val="none"/>
                <w:lang w:val="en-US" w:eastAsia="zh-CN" w:bidi="zh-CN"/>
              </w:rPr>
              <w:t xml:space="preserve">分； </w:t>
            </w:r>
          </w:p>
          <w:p w14:paraId="52706B5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Chars="0"/>
              <w:textAlignment w:val="auto"/>
              <w:rPr>
                <w:rFonts w:hint="eastAsia" w:ascii="宋体" w:hAnsi="宋体" w:eastAsia="宋体" w:cs="宋体"/>
                <w:sz w:val="21"/>
                <w:szCs w:val="21"/>
                <w:highlight w:val="none"/>
                <w:lang w:val="en-US" w:eastAsia="zh-CN" w:bidi="zh-CN"/>
              </w:rPr>
            </w:pPr>
            <w:r>
              <w:rPr>
                <w:rFonts w:hint="eastAsia" w:ascii="宋体" w:hAnsi="宋体" w:eastAsia="宋体" w:cs="宋体"/>
                <w:sz w:val="21"/>
                <w:szCs w:val="21"/>
                <w:highlight w:val="none"/>
                <w:lang w:val="en-US" w:eastAsia="zh-CN" w:bidi="zh-CN"/>
              </w:rPr>
              <w:t>3.本</w:t>
            </w:r>
            <w:r>
              <w:rPr>
                <w:rFonts w:hint="eastAsia" w:cs="宋体"/>
                <w:sz w:val="21"/>
                <w:szCs w:val="21"/>
                <w:highlight w:val="none"/>
                <w:lang w:val="en-US" w:eastAsia="zh-CN" w:bidi="zh-CN"/>
              </w:rPr>
              <w:t>项目需求</w:t>
            </w:r>
            <w:r>
              <w:rPr>
                <w:rFonts w:hint="eastAsia" w:ascii="宋体" w:hAnsi="宋体" w:eastAsia="宋体" w:cs="宋体"/>
                <w:color w:val="auto"/>
                <w:sz w:val="21"/>
                <w:szCs w:val="21"/>
                <w:highlight w:val="none"/>
                <w:lang w:val="en-US" w:eastAsia="zh-CN"/>
              </w:rPr>
              <w:t>“三、项目服务要求</w:t>
            </w:r>
            <w:r>
              <w:rPr>
                <w:rFonts w:hint="eastAsia" w:ascii="宋体" w:hAnsi="宋体" w:cs="宋体"/>
                <w:color w:val="auto"/>
                <w:sz w:val="21"/>
                <w:szCs w:val="21"/>
                <w:highlight w:val="none"/>
                <w:lang w:val="en-US" w:eastAsia="zh-CN"/>
              </w:rPr>
              <w:t>第2-11条</w:t>
            </w:r>
            <w:r>
              <w:rPr>
                <w:rFonts w:hint="eastAsia" w:ascii="宋体" w:hAnsi="宋体" w:eastAsia="宋体" w:cs="宋体"/>
                <w:color w:val="auto"/>
                <w:sz w:val="21"/>
                <w:szCs w:val="21"/>
                <w:highlight w:val="none"/>
                <w:lang w:val="en-US" w:eastAsia="zh-CN"/>
              </w:rPr>
              <w:t>”中</w:t>
            </w:r>
            <w:r>
              <w:rPr>
                <w:rFonts w:hint="eastAsia" w:ascii="宋体" w:hAnsi="宋体" w:eastAsia="宋体" w:cs="宋体"/>
                <w:sz w:val="21"/>
                <w:szCs w:val="21"/>
                <w:highlight w:val="none"/>
                <w:lang w:val="en-US" w:eastAsia="zh-CN" w:bidi="zh-CN"/>
              </w:rPr>
              <w:t>非“★”号</w:t>
            </w:r>
            <w:r>
              <w:rPr>
                <w:rFonts w:hint="eastAsia" w:cs="宋体"/>
                <w:sz w:val="21"/>
                <w:szCs w:val="21"/>
                <w:highlight w:val="none"/>
                <w:lang w:val="en-US" w:eastAsia="zh-CN" w:bidi="zh-CN"/>
              </w:rPr>
              <w:t>和非</w:t>
            </w:r>
            <w:r>
              <w:rPr>
                <w:rFonts w:hint="eastAsia" w:ascii="宋体" w:hAnsi="宋体" w:eastAsia="宋体" w:cs="宋体"/>
                <w:sz w:val="21"/>
                <w:szCs w:val="21"/>
                <w:highlight w:val="none"/>
                <w:lang w:val="en-US" w:eastAsia="zh-CN" w:bidi="zh-CN"/>
              </w:rPr>
              <w:t>“▲”号条款参数共</w:t>
            </w:r>
            <w:r>
              <w:rPr>
                <w:rFonts w:hint="eastAsia" w:cs="宋体"/>
                <w:sz w:val="21"/>
                <w:szCs w:val="21"/>
                <w:highlight w:val="none"/>
                <w:lang w:val="en-US" w:eastAsia="zh-CN" w:bidi="zh-CN"/>
              </w:rPr>
              <w:t xml:space="preserve"> 9 </w:t>
            </w:r>
            <w:r>
              <w:rPr>
                <w:rFonts w:hint="eastAsia" w:ascii="宋体" w:hAnsi="宋体" w:eastAsia="宋体" w:cs="宋体"/>
                <w:sz w:val="21"/>
                <w:szCs w:val="21"/>
                <w:highlight w:val="none"/>
                <w:lang w:val="en-US" w:eastAsia="zh-CN" w:bidi="zh-CN"/>
              </w:rPr>
              <w:t>条，</w:t>
            </w:r>
            <w:r>
              <w:rPr>
                <w:rFonts w:hint="eastAsia" w:ascii="宋体" w:hAnsi="宋体" w:eastAsia="宋体" w:cs="宋体"/>
                <w:sz w:val="21"/>
                <w:szCs w:val="21"/>
                <w:highlight w:val="none"/>
                <w:lang w:val="en-US" w:eastAsia="zh-CN"/>
              </w:rPr>
              <w:t>每负偏离一项扣</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分，扣完为止，</w:t>
            </w:r>
            <w:r>
              <w:rPr>
                <w:rFonts w:hint="eastAsia" w:ascii="宋体" w:hAnsi="宋体" w:eastAsia="宋体" w:cs="宋体"/>
                <w:sz w:val="21"/>
                <w:szCs w:val="21"/>
                <w:highlight w:val="none"/>
                <w:lang w:val="en-US" w:eastAsia="zh-CN" w:bidi="zh-CN"/>
              </w:rPr>
              <w:t>本小项共</w:t>
            </w:r>
            <w:r>
              <w:rPr>
                <w:rFonts w:hint="eastAsia" w:cs="宋体"/>
                <w:sz w:val="21"/>
                <w:szCs w:val="21"/>
                <w:highlight w:val="none"/>
                <w:lang w:val="en-US" w:eastAsia="zh-CN" w:bidi="zh-CN"/>
              </w:rPr>
              <w:t xml:space="preserve"> 9 </w:t>
            </w:r>
            <w:r>
              <w:rPr>
                <w:rFonts w:hint="eastAsia" w:ascii="宋体" w:hAnsi="宋体" w:eastAsia="宋体" w:cs="宋体"/>
                <w:sz w:val="21"/>
                <w:szCs w:val="21"/>
                <w:highlight w:val="none"/>
                <w:lang w:val="en-US" w:eastAsia="zh-CN" w:bidi="zh-CN"/>
              </w:rPr>
              <w:t>分。</w:t>
            </w:r>
          </w:p>
          <w:p w14:paraId="28205C8E">
            <w:pPr>
              <w:pStyle w:val="6"/>
              <w:widowControl/>
              <w:spacing w:line="360" w:lineRule="exact"/>
              <w:jc w:val="left"/>
              <w:rPr>
                <w:rFonts w:hint="eastAsia" w:ascii="宋体" w:hAnsi="宋体" w:cs="宋体"/>
                <w:bCs/>
                <w:szCs w:val="21"/>
              </w:rPr>
            </w:pPr>
            <w:r>
              <w:rPr>
                <w:rFonts w:hint="eastAsia" w:ascii="宋体" w:hAnsi="宋体" w:eastAsia="宋体" w:cs="宋体"/>
                <w:sz w:val="21"/>
                <w:szCs w:val="21"/>
                <w:highlight w:val="none"/>
                <w:lang w:val="en-US" w:eastAsia="zh-CN" w:bidi="zh-CN"/>
              </w:rPr>
              <w:t xml:space="preserve">注:评审依据以供应商响应文件中响应表填写内容为准，未填写的视为负偏离。 </w:t>
            </w:r>
          </w:p>
        </w:tc>
        <w:tc>
          <w:tcPr>
            <w:tcW w:w="653" w:type="dxa"/>
            <w:vAlign w:val="center"/>
          </w:tcPr>
          <w:p w14:paraId="77ABC9CC">
            <w:pPr>
              <w:spacing w:line="360" w:lineRule="exact"/>
              <w:jc w:val="center"/>
            </w:pPr>
            <w:r>
              <w:rPr>
                <w:rFonts w:hint="eastAsia"/>
                <w:lang w:val="en-US" w:eastAsia="zh-CN"/>
              </w:rPr>
              <w:t>12</w:t>
            </w:r>
            <w:r>
              <w:rPr>
                <w:rFonts w:hint="eastAsia"/>
              </w:rPr>
              <w:t>分</w:t>
            </w:r>
          </w:p>
        </w:tc>
      </w:tr>
      <w:tr w14:paraId="23674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21" w:type="dxa"/>
            <w:vMerge w:val="continue"/>
            <w:vAlign w:val="center"/>
          </w:tcPr>
          <w:p w14:paraId="6BBB1C8C">
            <w:pPr>
              <w:tabs>
                <w:tab w:val="decimal" w:pos="315"/>
                <w:tab w:val="left" w:pos="630"/>
              </w:tabs>
              <w:spacing w:line="360" w:lineRule="exact"/>
              <w:jc w:val="center"/>
              <w:rPr>
                <w:rFonts w:hint="eastAsia" w:ascii="宋体" w:hAnsi="宋体"/>
                <w:b/>
                <w:bCs/>
                <w:szCs w:val="21"/>
              </w:rPr>
            </w:pPr>
          </w:p>
        </w:tc>
        <w:tc>
          <w:tcPr>
            <w:tcW w:w="1734" w:type="dxa"/>
            <w:vAlign w:val="center"/>
          </w:tcPr>
          <w:p w14:paraId="436EF684">
            <w:pPr>
              <w:jc w:val="center"/>
              <w:rPr>
                <w:rFonts w:hint="eastAsia" w:ascii="宋体" w:hAnsi="宋体" w:cs="宋体"/>
                <w:color w:val="000000"/>
                <w:kern w:val="0"/>
                <w:sz w:val="24"/>
                <w:lang w:bidi="ar"/>
              </w:rPr>
            </w:pPr>
            <w:r>
              <w:t xml:space="preserve">供应商现有维修、检测设备情况 </w:t>
            </w:r>
          </w:p>
        </w:tc>
        <w:tc>
          <w:tcPr>
            <w:tcW w:w="6240" w:type="dxa"/>
            <w:vAlign w:val="top"/>
          </w:tcPr>
          <w:p w14:paraId="5A01D076">
            <w:pPr>
              <w:widowControl/>
              <w:numPr>
                <w:ilvl w:val="-1"/>
                <w:numId w:val="0"/>
              </w:numPr>
              <w:tabs>
                <w:tab w:val="decimal" w:pos="315"/>
                <w:tab w:val="left" w:pos="630"/>
              </w:tabs>
              <w:spacing w:line="360" w:lineRule="exact"/>
              <w:jc w:val="left"/>
              <w:rPr>
                <w:rFonts w:hint="eastAsia"/>
              </w:rPr>
            </w:pPr>
            <w:r>
              <w:rPr>
                <w:rFonts w:hint="eastAsia"/>
              </w:rPr>
              <w:t>根据供应商提供的现有维修、检测设备情况进行评审：</w:t>
            </w:r>
          </w:p>
          <w:p w14:paraId="39C9A054">
            <w:pPr>
              <w:widowControl/>
              <w:numPr>
                <w:ilvl w:val="-1"/>
                <w:numId w:val="0"/>
              </w:numPr>
              <w:tabs>
                <w:tab w:val="decimal" w:pos="315"/>
                <w:tab w:val="left" w:pos="630"/>
              </w:tabs>
              <w:spacing w:line="360" w:lineRule="exact"/>
              <w:jc w:val="left"/>
              <w:rPr>
                <w:rFonts w:hint="eastAsia"/>
              </w:rPr>
            </w:pPr>
            <w:r>
              <w:rPr>
                <w:rFonts w:hint="eastAsia"/>
              </w:rPr>
              <w:t>（1）供应商现有维修、检测设备齐全，工位数量多、设备先进，得12分；</w:t>
            </w:r>
          </w:p>
          <w:p w14:paraId="0B7B79F7">
            <w:pPr>
              <w:widowControl/>
              <w:numPr>
                <w:ilvl w:val="-1"/>
                <w:numId w:val="0"/>
              </w:numPr>
              <w:tabs>
                <w:tab w:val="decimal" w:pos="315"/>
                <w:tab w:val="left" w:pos="630"/>
              </w:tabs>
              <w:spacing w:line="360" w:lineRule="exact"/>
              <w:jc w:val="left"/>
              <w:rPr>
                <w:rFonts w:hint="eastAsia"/>
              </w:rPr>
            </w:pPr>
            <w:r>
              <w:rPr>
                <w:rFonts w:hint="eastAsia"/>
              </w:rPr>
              <w:t>（2）供应商现有维修、检测设备较为齐全，工位数量较多、设备较为先进，得9分；</w:t>
            </w:r>
          </w:p>
          <w:p w14:paraId="26837A75">
            <w:pPr>
              <w:widowControl/>
              <w:numPr>
                <w:ilvl w:val="-1"/>
                <w:numId w:val="0"/>
              </w:numPr>
              <w:tabs>
                <w:tab w:val="decimal" w:pos="315"/>
                <w:tab w:val="left" w:pos="630"/>
              </w:tabs>
              <w:spacing w:line="360" w:lineRule="exact"/>
              <w:jc w:val="left"/>
              <w:rPr>
                <w:rFonts w:hint="eastAsia"/>
              </w:rPr>
            </w:pPr>
            <w:r>
              <w:rPr>
                <w:rFonts w:hint="eastAsia"/>
              </w:rPr>
              <w:t>（3）供应商现有维修、检测设备一般，工位数量一般、设备一般，得6分；</w:t>
            </w:r>
          </w:p>
          <w:p w14:paraId="0B723101">
            <w:pPr>
              <w:widowControl/>
              <w:numPr>
                <w:ilvl w:val="-1"/>
                <w:numId w:val="0"/>
              </w:numPr>
              <w:tabs>
                <w:tab w:val="decimal" w:pos="315"/>
                <w:tab w:val="left" w:pos="630"/>
              </w:tabs>
              <w:spacing w:line="360" w:lineRule="exact"/>
              <w:jc w:val="left"/>
              <w:rPr>
                <w:rFonts w:hint="eastAsia"/>
              </w:rPr>
            </w:pPr>
            <w:r>
              <w:rPr>
                <w:rFonts w:hint="eastAsia"/>
              </w:rPr>
              <w:t>（4）供应商现有维修、检测设备少，工位数量少、设备差，得3分；</w:t>
            </w:r>
          </w:p>
          <w:p w14:paraId="7972F140">
            <w:pPr>
              <w:widowControl/>
              <w:numPr>
                <w:ilvl w:val="-1"/>
                <w:numId w:val="0"/>
              </w:numPr>
              <w:tabs>
                <w:tab w:val="decimal" w:pos="315"/>
                <w:tab w:val="left" w:pos="630"/>
              </w:tabs>
              <w:spacing w:line="360" w:lineRule="exact"/>
              <w:jc w:val="left"/>
              <w:rPr>
                <w:rFonts w:hint="eastAsia" w:ascii="宋体" w:hAnsi="宋体" w:cs="宋体"/>
                <w:bCs/>
                <w:szCs w:val="21"/>
              </w:rPr>
            </w:pPr>
            <w:r>
              <w:rPr>
                <w:rFonts w:hint="eastAsia"/>
              </w:rPr>
              <w:t>（5）供应商未提供维修、检测设备，得0分。</w:t>
            </w:r>
          </w:p>
        </w:tc>
        <w:tc>
          <w:tcPr>
            <w:tcW w:w="653" w:type="dxa"/>
            <w:vAlign w:val="center"/>
          </w:tcPr>
          <w:p w14:paraId="2BCA4F7C">
            <w:pPr>
              <w:spacing w:line="360" w:lineRule="exact"/>
              <w:jc w:val="center"/>
              <w:rPr>
                <w:rFonts w:hint="default" w:eastAsia="宋体"/>
                <w:lang w:val="en-US" w:eastAsia="zh-CN"/>
              </w:rPr>
            </w:pPr>
            <w:r>
              <w:rPr>
                <w:rFonts w:hint="eastAsia"/>
                <w:lang w:val="en-US" w:eastAsia="zh-CN"/>
              </w:rPr>
              <w:t>12分</w:t>
            </w:r>
          </w:p>
        </w:tc>
      </w:tr>
      <w:tr w14:paraId="7BCC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21" w:type="dxa"/>
            <w:vMerge w:val="continue"/>
            <w:vAlign w:val="center"/>
          </w:tcPr>
          <w:p w14:paraId="432514F3">
            <w:pPr>
              <w:tabs>
                <w:tab w:val="decimal" w:pos="315"/>
                <w:tab w:val="left" w:pos="630"/>
              </w:tabs>
              <w:spacing w:line="360" w:lineRule="exact"/>
              <w:jc w:val="center"/>
              <w:rPr>
                <w:rFonts w:hint="eastAsia" w:ascii="宋体" w:hAnsi="宋体"/>
                <w:b/>
                <w:bCs/>
                <w:szCs w:val="21"/>
              </w:rPr>
            </w:pPr>
          </w:p>
        </w:tc>
        <w:tc>
          <w:tcPr>
            <w:tcW w:w="1734" w:type="dxa"/>
            <w:vAlign w:val="center"/>
          </w:tcPr>
          <w:p w14:paraId="3F0E2EAD">
            <w:pPr>
              <w:jc w:val="center"/>
              <w:rPr>
                <w:rFonts w:hint="eastAsia" w:ascii="宋体" w:hAnsi="宋体" w:eastAsia="宋体" w:cs="宋体"/>
                <w:sz w:val="21"/>
                <w:szCs w:val="21"/>
                <w:highlight w:val="none"/>
                <w:lang w:val="en-US" w:eastAsia="zh-CN"/>
              </w:rPr>
            </w:pPr>
            <w:r>
              <w:t>服务便利性及响应时间</w:t>
            </w:r>
          </w:p>
        </w:tc>
        <w:tc>
          <w:tcPr>
            <w:tcW w:w="6240" w:type="dxa"/>
            <w:vAlign w:val="top"/>
          </w:tcPr>
          <w:p w14:paraId="371691D6">
            <w:pPr>
              <w:jc w:val="left"/>
            </w:pPr>
            <w:r>
              <w:rPr>
                <w:rFonts w:hint="eastAsia"/>
                <w:lang w:eastAsia="zh-CN"/>
              </w:rPr>
              <w:t>根据</w:t>
            </w:r>
            <w:r>
              <w:t>供应商</w:t>
            </w:r>
            <w:r>
              <w:rPr>
                <w:rFonts w:hint="eastAsia"/>
                <w:lang w:eastAsia="zh-CN"/>
              </w:rPr>
              <w:t>的对接</w:t>
            </w:r>
            <w:r>
              <w:t>服务</w:t>
            </w:r>
            <w:r>
              <w:rPr>
                <w:rFonts w:hint="eastAsia"/>
                <w:lang w:eastAsia="zh-CN"/>
              </w:rPr>
              <w:t>情况、</w:t>
            </w:r>
            <w:r>
              <w:t>服务点</w:t>
            </w:r>
            <w:r>
              <w:rPr>
                <w:rFonts w:hint="eastAsia"/>
                <w:lang w:eastAsia="zh-CN"/>
              </w:rPr>
              <w:t>设置、</w:t>
            </w:r>
            <w:r>
              <w:t>服务便捷</w:t>
            </w:r>
            <w:r>
              <w:rPr>
                <w:rFonts w:hint="eastAsia"/>
                <w:lang w:eastAsia="zh-CN"/>
              </w:rPr>
              <w:t>性进行评审：</w:t>
            </w:r>
            <w:r>
              <w:t xml:space="preserve"> </w:t>
            </w:r>
          </w:p>
          <w:p w14:paraId="360FDBA9">
            <w:pPr>
              <w:numPr>
                <w:ilvl w:val="0"/>
                <w:numId w:val="1"/>
              </w:numPr>
              <w:ind w:left="105"/>
              <w:jc w:val="left"/>
            </w:pPr>
            <w:r>
              <w:t>售后服务点的设立、办公地点便利</w:t>
            </w:r>
            <w:r>
              <w:rPr>
                <w:rFonts w:hint="eastAsia"/>
                <w:lang w:eastAsia="zh-CN"/>
              </w:rPr>
              <w:t>，</w:t>
            </w:r>
            <w:r>
              <w:t>售后服务响应时间快速，解决问题效率高，得</w:t>
            </w:r>
            <w:r>
              <w:rPr>
                <w:rFonts w:hint="eastAsia"/>
                <w:lang w:val="en-US" w:eastAsia="zh-CN"/>
              </w:rPr>
              <w:t>8</w:t>
            </w:r>
            <w:r>
              <w:t xml:space="preserve"> 分；  </w:t>
            </w:r>
          </w:p>
          <w:p w14:paraId="6C03C162">
            <w:pPr>
              <w:numPr>
                <w:ilvl w:val="0"/>
                <w:numId w:val="1"/>
              </w:numPr>
              <w:ind w:left="105"/>
              <w:jc w:val="left"/>
            </w:pPr>
            <w:r>
              <w:t>售后服务点的设立、办公地点</w:t>
            </w:r>
            <w:r>
              <w:rPr>
                <w:rFonts w:hint="eastAsia"/>
                <w:lang w:eastAsia="zh-CN"/>
              </w:rPr>
              <w:t>较为</w:t>
            </w:r>
            <w:r>
              <w:t>便利</w:t>
            </w:r>
            <w:r>
              <w:rPr>
                <w:rFonts w:hint="eastAsia"/>
                <w:lang w:eastAsia="zh-CN"/>
              </w:rPr>
              <w:t>，</w:t>
            </w:r>
            <w:r>
              <w:t>售后服务响应时间</w:t>
            </w:r>
            <w:r>
              <w:rPr>
                <w:rFonts w:hint="eastAsia"/>
                <w:lang w:eastAsia="zh-CN"/>
              </w:rPr>
              <w:t>较</w:t>
            </w:r>
            <w:r>
              <w:t>快速，解决问题效率</w:t>
            </w:r>
            <w:r>
              <w:rPr>
                <w:rFonts w:hint="eastAsia"/>
                <w:lang w:eastAsia="zh-CN"/>
              </w:rPr>
              <w:t>较</w:t>
            </w:r>
            <w:r>
              <w:t>高，得</w:t>
            </w:r>
            <w:r>
              <w:rPr>
                <w:rFonts w:hint="eastAsia"/>
                <w:lang w:val="en-US" w:eastAsia="zh-CN"/>
              </w:rPr>
              <w:t>5</w:t>
            </w:r>
            <w:r>
              <w:t xml:space="preserve">分； </w:t>
            </w:r>
          </w:p>
          <w:p w14:paraId="1560C455">
            <w:pPr>
              <w:numPr>
                <w:ilvl w:val="0"/>
                <w:numId w:val="1"/>
              </w:numPr>
              <w:ind w:left="105"/>
              <w:jc w:val="left"/>
            </w:pPr>
            <w:r>
              <w:t>售后服务点的设立、办公地点不太便利</w:t>
            </w:r>
            <w:r>
              <w:rPr>
                <w:rFonts w:hint="eastAsia"/>
                <w:lang w:eastAsia="zh-CN"/>
              </w:rPr>
              <w:t>，</w:t>
            </w:r>
            <w:r>
              <w:t>售后服务响应时间较</w:t>
            </w:r>
            <w:r>
              <w:rPr>
                <w:rFonts w:hint="eastAsia"/>
                <w:lang w:eastAsia="zh-CN"/>
              </w:rPr>
              <w:t>慢</w:t>
            </w:r>
            <w:r>
              <w:t>，解决问题效率</w:t>
            </w:r>
            <w:r>
              <w:rPr>
                <w:rFonts w:hint="eastAsia"/>
                <w:lang w:eastAsia="zh-CN"/>
              </w:rPr>
              <w:t>一般</w:t>
            </w:r>
            <w:r>
              <w:t xml:space="preserve">，得 </w:t>
            </w:r>
            <w:r>
              <w:rPr>
                <w:rFonts w:hint="eastAsia"/>
                <w:lang w:val="en-US" w:eastAsia="zh-CN"/>
              </w:rPr>
              <w:t>2</w:t>
            </w:r>
            <w:r>
              <w:t xml:space="preserve"> 分。  </w:t>
            </w:r>
          </w:p>
          <w:p w14:paraId="77984C3B">
            <w:pPr>
              <w:numPr>
                <w:ilvl w:val="0"/>
                <w:numId w:val="1"/>
              </w:numPr>
              <w:ind w:left="105"/>
              <w:jc w:val="left"/>
            </w:pPr>
            <w:r>
              <w:t xml:space="preserve">不按要求提供得0分。 </w:t>
            </w:r>
          </w:p>
          <w:p w14:paraId="6131B8C4">
            <w:pPr>
              <w:numPr>
                <w:ilvl w:val="-1"/>
                <w:numId w:val="0"/>
              </w:numPr>
              <w:ind w:left="105"/>
              <w:jc w:val="left"/>
              <w:rPr>
                <w:rFonts w:hint="eastAsia" w:ascii="宋体" w:hAnsi="宋体" w:eastAsia="宋体" w:cs="宋体"/>
                <w:sz w:val="21"/>
                <w:szCs w:val="21"/>
                <w:highlight w:val="none"/>
                <w:lang w:val="en-US" w:eastAsia="zh-CN"/>
              </w:rPr>
            </w:pPr>
            <w:r>
              <w:t>注：响应文件中提供相关证明材料：供应商固定售后服务点或承诺</w:t>
            </w:r>
            <w:r>
              <w:rPr>
                <w:rFonts w:hint="eastAsia"/>
                <w:lang w:eastAsia="zh-CN"/>
              </w:rPr>
              <w:t>成交</w:t>
            </w:r>
            <w:r>
              <w:t>后设立的服务点与中山市</w:t>
            </w:r>
            <w:r>
              <w:rPr>
                <w:rFonts w:hint="eastAsia"/>
                <w:lang w:eastAsia="zh-CN"/>
              </w:rPr>
              <w:t>黄圃人民医院</w:t>
            </w:r>
            <w:r>
              <w:t>百度地图导航截图证明。（截图中应展示导航全路线和时间距离，以距离最短为准。）</w:t>
            </w:r>
          </w:p>
        </w:tc>
        <w:tc>
          <w:tcPr>
            <w:tcW w:w="653" w:type="dxa"/>
            <w:vAlign w:val="center"/>
          </w:tcPr>
          <w:p w14:paraId="17B02A85">
            <w:pPr>
              <w:spacing w:line="360" w:lineRule="exact"/>
              <w:jc w:val="center"/>
              <w:rPr>
                <w:rFonts w:hint="default"/>
                <w:lang w:val="en-US" w:eastAsia="zh-CN"/>
              </w:rPr>
            </w:pPr>
            <w:r>
              <w:rPr>
                <w:rFonts w:hint="eastAsia"/>
                <w:lang w:val="en-US" w:eastAsia="zh-CN"/>
              </w:rPr>
              <w:t>8分</w:t>
            </w:r>
          </w:p>
        </w:tc>
      </w:tr>
      <w:tr w14:paraId="5D341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2" w:hRule="atLeast"/>
          <w:jc w:val="center"/>
        </w:trPr>
        <w:tc>
          <w:tcPr>
            <w:tcW w:w="1221" w:type="dxa"/>
            <w:vMerge w:val="continue"/>
            <w:vAlign w:val="center"/>
          </w:tcPr>
          <w:p w14:paraId="0A0C878F">
            <w:pPr>
              <w:tabs>
                <w:tab w:val="decimal" w:pos="315"/>
                <w:tab w:val="left" w:pos="630"/>
              </w:tabs>
              <w:spacing w:line="360" w:lineRule="exact"/>
              <w:jc w:val="center"/>
              <w:rPr>
                <w:rFonts w:hint="eastAsia" w:ascii="宋体" w:hAnsi="宋体"/>
                <w:b/>
                <w:bCs/>
                <w:szCs w:val="21"/>
              </w:rPr>
            </w:pPr>
          </w:p>
        </w:tc>
        <w:tc>
          <w:tcPr>
            <w:tcW w:w="1734" w:type="dxa"/>
            <w:vAlign w:val="center"/>
          </w:tcPr>
          <w:p w14:paraId="4557949F">
            <w:pPr>
              <w:tabs>
                <w:tab w:val="decimal" w:pos="315"/>
                <w:tab w:val="left" w:pos="630"/>
              </w:tabs>
              <w:spacing w:line="360" w:lineRule="exact"/>
              <w:jc w:val="center"/>
              <w:rPr>
                <w:rFonts w:hint="eastAsia" w:ascii="宋体" w:hAnsi="宋体" w:cs="宋体"/>
                <w:color w:val="000000"/>
                <w:kern w:val="0"/>
                <w:sz w:val="24"/>
                <w:lang w:bidi="ar"/>
              </w:rPr>
            </w:pPr>
            <w:r>
              <w:rPr>
                <w:rFonts w:hint="eastAsia" w:ascii="宋体" w:hAnsi="宋体" w:eastAsia="宋体" w:cs="宋体"/>
                <w:sz w:val="21"/>
                <w:szCs w:val="21"/>
                <w:highlight w:val="none"/>
                <w:lang w:val="en-US"/>
              </w:rPr>
              <w:t>应急</w:t>
            </w:r>
            <w:r>
              <w:rPr>
                <w:rFonts w:hint="eastAsia" w:ascii="宋体" w:hAnsi="宋体" w:eastAsia="宋体" w:cs="宋体"/>
                <w:sz w:val="21"/>
                <w:szCs w:val="21"/>
                <w:highlight w:val="none"/>
                <w:lang w:val="en-US" w:eastAsia="zh-CN"/>
              </w:rPr>
              <w:t>方</w:t>
            </w:r>
            <w:r>
              <w:rPr>
                <w:rFonts w:hint="eastAsia" w:ascii="宋体" w:hAnsi="宋体" w:eastAsia="宋体" w:cs="宋体"/>
                <w:sz w:val="21"/>
                <w:szCs w:val="21"/>
                <w:highlight w:val="none"/>
                <w:lang w:val="en-US"/>
              </w:rPr>
              <w:t>案</w:t>
            </w:r>
          </w:p>
        </w:tc>
        <w:tc>
          <w:tcPr>
            <w:tcW w:w="6240" w:type="dxa"/>
            <w:vAlign w:val="center"/>
          </w:tcPr>
          <w:p w14:paraId="2E40EFF6">
            <w:pPr>
              <w:widowControl/>
              <w:tabs>
                <w:tab w:val="decimal" w:pos="315"/>
                <w:tab w:val="left" w:pos="630"/>
              </w:tabs>
              <w:spacing w:line="360" w:lineRule="exact"/>
              <w:jc w:val="lef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根据供应商</w:t>
            </w:r>
            <w:r>
              <w:rPr>
                <w:rFonts w:hint="eastAsia" w:ascii="宋体" w:hAnsi="宋体" w:eastAsia="宋体" w:cs="宋体"/>
                <w:sz w:val="21"/>
                <w:szCs w:val="21"/>
                <w:highlight w:val="none"/>
                <w:lang w:val="en-US" w:eastAsia="zh-CN"/>
              </w:rPr>
              <w:t>提供的应急方案进行评审：</w:t>
            </w:r>
          </w:p>
          <w:p w14:paraId="1048C970">
            <w:pPr>
              <w:widowControl/>
              <w:tabs>
                <w:tab w:val="decimal" w:pos="315"/>
                <w:tab w:val="left" w:pos="630"/>
              </w:tabs>
              <w:spacing w:line="360" w:lineRule="exact"/>
              <w:jc w:val="lef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应急方案内容完整，工作安排合理、完善，管理科学规范，得</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val="en-US" w:eastAsia="zh-CN"/>
              </w:rPr>
              <w:t>分；</w:t>
            </w:r>
          </w:p>
          <w:p w14:paraId="7C204DE5">
            <w:pPr>
              <w:widowControl/>
              <w:tabs>
                <w:tab w:val="decimal" w:pos="315"/>
                <w:tab w:val="left" w:pos="630"/>
              </w:tabs>
              <w:spacing w:line="360" w:lineRule="exact"/>
              <w:jc w:val="lef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应急方案内容较完整，工作安排较好，管理较科学规范，得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分；</w:t>
            </w:r>
          </w:p>
          <w:p w14:paraId="6A7F98BF">
            <w:pPr>
              <w:widowControl/>
              <w:tabs>
                <w:tab w:val="decimal" w:pos="315"/>
                <w:tab w:val="left" w:pos="630"/>
              </w:tabs>
              <w:spacing w:line="360" w:lineRule="exact"/>
              <w:jc w:val="lef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应急方案内容一般，工作安排一般，管理一般，得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w:t>
            </w:r>
          </w:p>
          <w:p w14:paraId="77A4C1A1">
            <w:pPr>
              <w:widowControl/>
              <w:tabs>
                <w:tab w:val="decimal" w:pos="315"/>
                <w:tab w:val="left" w:pos="630"/>
              </w:tabs>
              <w:spacing w:line="360" w:lineRule="exact"/>
              <w:jc w:val="lef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应急方案内容</w:t>
            </w:r>
            <w:r>
              <w:rPr>
                <w:rFonts w:hint="eastAsia" w:ascii="宋体" w:hAnsi="宋体" w:cs="宋体"/>
                <w:sz w:val="21"/>
                <w:szCs w:val="21"/>
                <w:highlight w:val="none"/>
                <w:lang w:val="en-US" w:eastAsia="zh-CN"/>
              </w:rPr>
              <w:t>差</w:t>
            </w:r>
            <w:r>
              <w:rPr>
                <w:rFonts w:hint="eastAsia" w:ascii="宋体" w:hAnsi="宋体" w:eastAsia="宋体" w:cs="宋体"/>
                <w:sz w:val="21"/>
                <w:szCs w:val="21"/>
                <w:highlight w:val="none"/>
                <w:lang w:val="en-US" w:eastAsia="zh-CN"/>
              </w:rPr>
              <w:t>，工作安排差，管理差，得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分。</w:t>
            </w:r>
          </w:p>
          <w:p w14:paraId="08B73825">
            <w:pPr>
              <w:widowControl/>
              <w:tabs>
                <w:tab w:val="decimal" w:pos="315"/>
                <w:tab w:val="left" w:pos="630"/>
              </w:tabs>
              <w:spacing w:line="360" w:lineRule="exact"/>
              <w:jc w:val="left"/>
              <w:rPr>
                <w:rFonts w:hint="eastAsia" w:ascii="宋体" w:hAnsi="宋体" w:cs="宋体"/>
                <w:bCs/>
                <w:szCs w:val="21"/>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不提供不得分。</w:t>
            </w:r>
          </w:p>
        </w:tc>
        <w:tc>
          <w:tcPr>
            <w:tcW w:w="653" w:type="dxa"/>
            <w:vAlign w:val="center"/>
          </w:tcPr>
          <w:p w14:paraId="00AAB255">
            <w:pPr>
              <w:spacing w:line="360" w:lineRule="exact"/>
              <w:jc w:val="center"/>
              <w:rPr>
                <w:rFonts w:hint="default" w:eastAsia="宋体"/>
                <w:lang w:val="en-US" w:eastAsia="zh-CN"/>
              </w:rPr>
            </w:pPr>
            <w:r>
              <w:rPr>
                <w:rFonts w:hint="eastAsia"/>
                <w:lang w:val="en-US" w:eastAsia="zh-CN"/>
              </w:rPr>
              <w:t>9分</w:t>
            </w:r>
          </w:p>
        </w:tc>
      </w:tr>
      <w:tr w14:paraId="4E582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221" w:type="dxa"/>
            <w:vMerge w:val="continue"/>
            <w:vAlign w:val="center"/>
          </w:tcPr>
          <w:p w14:paraId="232029ED">
            <w:pPr>
              <w:spacing w:line="360" w:lineRule="exact"/>
              <w:jc w:val="center"/>
              <w:rPr>
                <w:rFonts w:hint="eastAsia" w:ascii="宋体" w:hAnsi="宋体"/>
                <w:b/>
                <w:bCs/>
                <w:szCs w:val="21"/>
              </w:rPr>
            </w:pPr>
          </w:p>
        </w:tc>
        <w:tc>
          <w:tcPr>
            <w:tcW w:w="1734" w:type="dxa"/>
            <w:vAlign w:val="center"/>
          </w:tcPr>
          <w:p w14:paraId="3BF62F89">
            <w:pPr>
              <w:widowControl/>
              <w:tabs>
                <w:tab w:val="decimal" w:pos="315"/>
                <w:tab w:val="left" w:pos="630"/>
              </w:tabs>
              <w:snapToGrid/>
              <w:spacing w:line="360" w:lineRule="exact"/>
              <w:jc w:val="center"/>
              <w:rPr>
                <w:rFonts w:hint="eastAsia" w:ascii="宋体" w:hAnsi="宋体"/>
                <w:szCs w:val="21"/>
              </w:rPr>
            </w:pPr>
            <w:r>
              <w:rPr>
                <w:rFonts w:hint="eastAsia" w:ascii="宋体" w:hAnsi="宋体" w:cs="宋体"/>
                <w:color w:val="000000"/>
                <w:sz w:val="21"/>
                <w:szCs w:val="21"/>
                <w:highlight w:val="none"/>
                <w:lang w:val="en-US" w:eastAsia="zh-CN"/>
              </w:rPr>
              <w:t>车辆</w:t>
            </w:r>
            <w:r>
              <w:rPr>
                <w:rFonts w:hint="eastAsia" w:ascii="宋体" w:hAnsi="宋体" w:eastAsia="宋体" w:cs="宋体"/>
                <w:color w:val="000000"/>
                <w:sz w:val="21"/>
                <w:szCs w:val="21"/>
                <w:highlight w:val="none"/>
                <w:lang w:val="en-US" w:eastAsia="zh-CN"/>
              </w:rPr>
              <w:t>维修</w:t>
            </w:r>
            <w:r>
              <w:rPr>
                <w:rFonts w:hint="eastAsia" w:ascii="宋体" w:hAnsi="宋体" w:cs="宋体"/>
                <w:color w:val="000000"/>
                <w:sz w:val="21"/>
                <w:szCs w:val="21"/>
                <w:highlight w:val="none"/>
                <w:lang w:val="en-US" w:eastAsia="zh-CN"/>
              </w:rPr>
              <w:t>保养</w:t>
            </w:r>
            <w:r>
              <w:rPr>
                <w:rFonts w:hint="eastAsia" w:ascii="宋体" w:hAnsi="宋体" w:eastAsia="宋体" w:cs="宋体"/>
                <w:color w:val="000000"/>
                <w:sz w:val="21"/>
                <w:szCs w:val="21"/>
                <w:highlight w:val="none"/>
                <w:lang w:val="en-US" w:eastAsia="zh-CN"/>
              </w:rPr>
              <w:t xml:space="preserve">方案 </w:t>
            </w:r>
          </w:p>
        </w:tc>
        <w:tc>
          <w:tcPr>
            <w:tcW w:w="6240" w:type="dxa"/>
            <w:vAlign w:val="center"/>
          </w:tcPr>
          <w:p w14:paraId="2E685CD7">
            <w:pPr>
              <w:widowControl/>
              <w:tabs>
                <w:tab w:val="decimal" w:pos="315"/>
                <w:tab w:val="left" w:pos="630"/>
              </w:tabs>
              <w:spacing w:line="360" w:lineRule="exact"/>
              <w:jc w:val="lef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根据供应商</w:t>
            </w:r>
            <w:r>
              <w:rPr>
                <w:rFonts w:hint="eastAsia" w:ascii="宋体" w:hAnsi="宋体" w:eastAsia="宋体" w:cs="宋体"/>
                <w:sz w:val="21"/>
                <w:szCs w:val="21"/>
                <w:highlight w:val="none"/>
                <w:lang w:val="en-US" w:eastAsia="zh-CN"/>
              </w:rPr>
              <w:t>提供的</w:t>
            </w:r>
            <w:r>
              <w:rPr>
                <w:rFonts w:hint="eastAsia" w:ascii="宋体" w:hAnsi="宋体" w:cs="宋体"/>
                <w:sz w:val="21"/>
                <w:szCs w:val="21"/>
                <w:highlight w:val="none"/>
                <w:lang w:val="en-US" w:eastAsia="zh-CN"/>
              </w:rPr>
              <w:t>车辆</w:t>
            </w:r>
            <w:r>
              <w:rPr>
                <w:rFonts w:hint="eastAsia" w:ascii="宋体" w:hAnsi="宋体" w:eastAsia="宋体" w:cs="宋体"/>
                <w:sz w:val="21"/>
                <w:szCs w:val="21"/>
                <w:highlight w:val="none"/>
                <w:lang w:val="en-US" w:eastAsia="zh-CN"/>
              </w:rPr>
              <w:t>维修</w:t>
            </w:r>
            <w:r>
              <w:rPr>
                <w:rFonts w:hint="eastAsia" w:ascii="宋体" w:hAnsi="宋体" w:cs="宋体"/>
                <w:sz w:val="21"/>
                <w:szCs w:val="21"/>
                <w:highlight w:val="none"/>
                <w:lang w:val="en-US" w:eastAsia="zh-CN"/>
              </w:rPr>
              <w:t>保养</w:t>
            </w:r>
            <w:r>
              <w:rPr>
                <w:rFonts w:hint="eastAsia" w:ascii="宋体" w:hAnsi="宋体" w:eastAsia="宋体" w:cs="宋体"/>
                <w:sz w:val="21"/>
                <w:szCs w:val="21"/>
                <w:highlight w:val="none"/>
                <w:lang w:val="en-US" w:eastAsia="zh-CN"/>
              </w:rPr>
              <w:t>方案（结合车辆实际车辆性质）进行评审：</w:t>
            </w:r>
          </w:p>
          <w:p w14:paraId="7CFCEB6A">
            <w:pPr>
              <w:widowControl/>
              <w:tabs>
                <w:tab w:val="decimal" w:pos="315"/>
                <w:tab w:val="left" w:pos="630"/>
              </w:tabs>
              <w:spacing w:line="360" w:lineRule="exact"/>
              <w:jc w:val="lef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（1）车辆</w:t>
            </w:r>
            <w:r>
              <w:rPr>
                <w:rFonts w:hint="eastAsia" w:ascii="宋体" w:hAnsi="宋体" w:eastAsia="宋体" w:cs="宋体"/>
                <w:sz w:val="21"/>
                <w:szCs w:val="21"/>
                <w:highlight w:val="none"/>
                <w:lang w:val="en-US" w:eastAsia="zh-CN"/>
              </w:rPr>
              <w:t>维修</w:t>
            </w:r>
            <w:r>
              <w:rPr>
                <w:rFonts w:hint="eastAsia" w:ascii="宋体" w:hAnsi="宋体" w:cs="宋体"/>
                <w:sz w:val="21"/>
                <w:szCs w:val="21"/>
                <w:highlight w:val="none"/>
                <w:lang w:val="en-US" w:eastAsia="zh-CN"/>
              </w:rPr>
              <w:t>保养</w:t>
            </w:r>
            <w:r>
              <w:rPr>
                <w:rFonts w:hint="eastAsia" w:ascii="宋体" w:hAnsi="宋体" w:eastAsia="宋体" w:cs="宋体"/>
                <w:sz w:val="21"/>
                <w:szCs w:val="21"/>
                <w:highlight w:val="none"/>
                <w:lang w:val="en-US" w:eastAsia="zh-CN"/>
              </w:rPr>
              <w:t>方案内容完整</w:t>
            </w:r>
            <w:r>
              <w:rPr>
                <w:rFonts w:hint="eastAsia" w:ascii="宋体" w:hAnsi="宋体" w:cs="宋体"/>
                <w:sz w:val="21"/>
                <w:szCs w:val="21"/>
                <w:highlight w:val="none"/>
                <w:lang w:val="en-US" w:eastAsia="zh-CN"/>
              </w:rPr>
              <w:t>、详细</w:t>
            </w:r>
            <w:r>
              <w:rPr>
                <w:rFonts w:hint="eastAsia" w:ascii="宋体" w:hAnsi="宋体" w:eastAsia="宋体" w:cs="宋体"/>
                <w:sz w:val="21"/>
                <w:szCs w:val="21"/>
                <w:highlight w:val="none"/>
                <w:lang w:val="en-US" w:eastAsia="zh-CN"/>
              </w:rPr>
              <w:t>，工作安排合理、完善，管理科学规范，得20分；</w:t>
            </w:r>
          </w:p>
          <w:p w14:paraId="311CF32A">
            <w:pPr>
              <w:widowControl/>
              <w:tabs>
                <w:tab w:val="decimal" w:pos="315"/>
                <w:tab w:val="left" w:pos="630"/>
              </w:tabs>
              <w:spacing w:line="360" w:lineRule="exact"/>
              <w:jc w:val="lef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维修方案内容较完整</w:t>
            </w:r>
            <w:r>
              <w:rPr>
                <w:rFonts w:hint="eastAsia" w:ascii="宋体" w:hAnsi="宋体" w:cs="宋体"/>
                <w:sz w:val="21"/>
                <w:szCs w:val="21"/>
                <w:highlight w:val="none"/>
                <w:lang w:val="en-US" w:eastAsia="zh-CN"/>
              </w:rPr>
              <w:t>、详细</w:t>
            </w:r>
            <w:r>
              <w:rPr>
                <w:rFonts w:hint="eastAsia" w:ascii="宋体" w:hAnsi="宋体" w:eastAsia="宋体" w:cs="宋体"/>
                <w:sz w:val="21"/>
                <w:szCs w:val="21"/>
                <w:highlight w:val="none"/>
                <w:lang w:val="en-US" w:eastAsia="zh-CN"/>
              </w:rPr>
              <w:t>，工作安排较好，管理较科学规范，得15分；</w:t>
            </w:r>
          </w:p>
          <w:p w14:paraId="69EDA984">
            <w:pPr>
              <w:widowControl/>
              <w:tabs>
                <w:tab w:val="decimal" w:pos="315"/>
                <w:tab w:val="left" w:pos="630"/>
              </w:tabs>
              <w:spacing w:line="360" w:lineRule="exact"/>
              <w:jc w:val="lef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维修方案内容</w:t>
            </w:r>
            <w:r>
              <w:rPr>
                <w:rFonts w:hint="eastAsia" w:ascii="宋体" w:hAnsi="宋体" w:cs="宋体"/>
                <w:sz w:val="21"/>
                <w:szCs w:val="21"/>
                <w:highlight w:val="none"/>
                <w:lang w:val="en-US" w:eastAsia="zh-CN"/>
              </w:rPr>
              <w:t>一般</w:t>
            </w:r>
            <w:r>
              <w:rPr>
                <w:rFonts w:hint="eastAsia" w:ascii="宋体" w:hAnsi="宋体" w:eastAsia="宋体" w:cs="宋体"/>
                <w:sz w:val="21"/>
                <w:szCs w:val="21"/>
                <w:highlight w:val="none"/>
                <w:lang w:val="en-US" w:eastAsia="zh-CN"/>
              </w:rPr>
              <w:t>，工作安排一般，管理一般，得10分；</w:t>
            </w:r>
          </w:p>
          <w:p w14:paraId="52CEB943">
            <w:pPr>
              <w:widowControl/>
              <w:tabs>
                <w:tab w:val="decimal" w:pos="315"/>
                <w:tab w:val="left" w:pos="630"/>
              </w:tabs>
              <w:spacing w:line="360" w:lineRule="exact"/>
              <w:jc w:val="lef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维修方案内容</w:t>
            </w:r>
            <w:r>
              <w:rPr>
                <w:rFonts w:hint="eastAsia" w:ascii="宋体" w:hAnsi="宋体" w:cs="宋体"/>
                <w:sz w:val="21"/>
                <w:szCs w:val="21"/>
                <w:highlight w:val="none"/>
                <w:lang w:val="en-US" w:eastAsia="zh-CN"/>
              </w:rPr>
              <w:t>差</w:t>
            </w:r>
            <w:r>
              <w:rPr>
                <w:rFonts w:hint="eastAsia" w:ascii="宋体" w:hAnsi="宋体" w:eastAsia="宋体" w:cs="宋体"/>
                <w:sz w:val="21"/>
                <w:szCs w:val="21"/>
                <w:highlight w:val="none"/>
                <w:lang w:val="en-US" w:eastAsia="zh-CN"/>
              </w:rPr>
              <w:t>，工作安排差，管理差，得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分。</w:t>
            </w:r>
          </w:p>
          <w:p w14:paraId="09F0C392">
            <w:pPr>
              <w:widowControl/>
              <w:tabs>
                <w:tab w:val="decimal" w:pos="315"/>
                <w:tab w:val="left" w:pos="630"/>
              </w:tabs>
              <w:spacing w:line="360" w:lineRule="exact"/>
              <w:jc w:val="left"/>
              <w:rPr>
                <w:rFonts w:hint="eastAsia" w:ascii="宋体" w:hAnsi="宋体" w:cs="宋体"/>
                <w:bCs/>
                <w:szCs w:val="21"/>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不提供不得分。</w:t>
            </w:r>
          </w:p>
        </w:tc>
        <w:tc>
          <w:tcPr>
            <w:tcW w:w="653" w:type="dxa"/>
            <w:vAlign w:val="center"/>
          </w:tcPr>
          <w:p w14:paraId="32ED87B7">
            <w:pPr>
              <w:spacing w:line="360" w:lineRule="exact"/>
              <w:jc w:val="center"/>
              <w:rPr>
                <w:rFonts w:hint="default" w:eastAsia="宋体"/>
                <w:lang w:val="en-US" w:eastAsia="zh-CN"/>
              </w:rPr>
            </w:pPr>
            <w:r>
              <w:rPr>
                <w:rFonts w:hint="eastAsia"/>
                <w:lang w:val="en-US" w:eastAsia="zh-CN"/>
              </w:rPr>
              <w:t>20分</w:t>
            </w:r>
          </w:p>
        </w:tc>
      </w:tr>
      <w:tr w14:paraId="76913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221" w:type="dxa"/>
            <w:vAlign w:val="center"/>
          </w:tcPr>
          <w:p w14:paraId="1B3C53DB">
            <w:pPr>
              <w:spacing w:line="360" w:lineRule="exact"/>
              <w:jc w:val="center"/>
              <w:rPr>
                <w:rFonts w:hint="eastAsia" w:ascii="宋体" w:hAnsi="宋体" w:eastAsia="宋体" w:cs="宋体"/>
                <w:b/>
                <w:bCs/>
                <w:szCs w:val="21"/>
                <w:lang w:eastAsia="zh-CN"/>
              </w:rPr>
            </w:pPr>
            <w:r>
              <w:rPr>
                <w:rFonts w:hint="eastAsia" w:ascii="宋体" w:hAnsi="宋体" w:cs="宋体"/>
                <w:b/>
                <w:bCs/>
                <w:szCs w:val="21"/>
                <w:lang w:eastAsia="zh-CN"/>
              </w:rPr>
              <w:t>价格部分</w:t>
            </w:r>
          </w:p>
        </w:tc>
        <w:tc>
          <w:tcPr>
            <w:tcW w:w="1734" w:type="dxa"/>
            <w:vAlign w:val="center"/>
          </w:tcPr>
          <w:p w14:paraId="4A85868D">
            <w:pPr>
              <w:spacing w:line="360" w:lineRule="exact"/>
              <w:jc w:val="center"/>
              <w:rPr>
                <w:szCs w:val="21"/>
              </w:rPr>
            </w:pPr>
            <w:r>
              <w:rPr>
                <w:rFonts w:hint="eastAsia" w:ascii="宋体" w:hAnsi="宋体" w:cs="宋体"/>
                <w:b w:val="0"/>
                <w:bCs w:val="0"/>
                <w:szCs w:val="21"/>
              </w:rPr>
              <w:t>响应报价</w:t>
            </w:r>
          </w:p>
        </w:tc>
        <w:tc>
          <w:tcPr>
            <w:tcW w:w="6240" w:type="dxa"/>
          </w:tcPr>
          <w:p w14:paraId="174A62ED">
            <w:pPr>
              <w:widowControl/>
              <w:tabs>
                <w:tab w:val="decimal" w:pos="315"/>
                <w:tab w:val="left" w:pos="630"/>
              </w:tabs>
              <w:spacing w:line="360" w:lineRule="exact"/>
              <w:jc w:val="lef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价格评分（权重）：工时不含税单价、材料管理费率、外加工管理费率各占10%</w:t>
            </w:r>
          </w:p>
          <w:p w14:paraId="7E76C617">
            <w:pPr>
              <w:widowControl/>
              <w:tabs>
                <w:tab w:val="decimal" w:pos="315"/>
                <w:tab w:val="left" w:pos="630"/>
              </w:tabs>
              <w:spacing w:line="360" w:lineRule="exact"/>
              <w:jc w:val="left"/>
              <w:rPr>
                <w:rFonts w:hint="eastAsia" w:ascii="宋体" w:hAnsi="宋体" w:eastAsia="宋体" w:cs="宋体"/>
                <w:sz w:val="21"/>
                <w:szCs w:val="21"/>
              </w:rPr>
            </w:pPr>
            <w:r>
              <w:rPr>
                <w:rFonts w:hint="eastAsia" w:ascii="宋体" w:hAnsi="宋体" w:eastAsia="宋体" w:cs="宋体"/>
                <w:sz w:val="21"/>
                <w:szCs w:val="21"/>
              </w:rPr>
              <w:t>【注：满足</w:t>
            </w:r>
            <w:r>
              <w:rPr>
                <w:rFonts w:hint="eastAsia" w:ascii="宋体" w:hAnsi="宋体" w:eastAsia="宋体" w:cs="宋体"/>
                <w:sz w:val="21"/>
                <w:szCs w:val="21"/>
                <w:lang w:eastAsia="zh-CN"/>
              </w:rPr>
              <w:t>采购</w:t>
            </w:r>
            <w:r>
              <w:rPr>
                <w:rFonts w:hint="eastAsia" w:ascii="宋体" w:hAnsi="宋体" w:eastAsia="宋体" w:cs="宋体"/>
                <w:sz w:val="21"/>
                <w:szCs w:val="21"/>
              </w:rPr>
              <w:t>文件要求且价格最低的报价为评</w:t>
            </w:r>
            <w:r>
              <w:rPr>
                <w:rFonts w:hint="eastAsia" w:ascii="宋体" w:hAnsi="宋体" w:cs="宋体"/>
                <w:sz w:val="21"/>
                <w:szCs w:val="21"/>
                <w:lang w:eastAsia="zh-CN"/>
              </w:rPr>
              <w:t>审</w:t>
            </w:r>
            <w:r>
              <w:rPr>
                <w:rFonts w:hint="eastAsia" w:ascii="宋体" w:hAnsi="宋体" w:eastAsia="宋体" w:cs="宋体"/>
                <w:sz w:val="21"/>
                <w:szCs w:val="21"/>
              </w:rPr>
              <w:t>基准价。】</w:t>
            </w:r>
          </w:p>
          <w:p w14:paraId="17B23FEE">
            <w:pPr>
              <w:widowControl/>
              <w:tabs>
                <w:tab w:val="decimal" w:pos="315"/>
                <w:tab w:val="left" w:pos="630"/>
              </w:tabs>
              <w:spacing w:line="36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价格得分（工时不含税单价）=（</w:t>
            </w:r>
            <w:r>
              <w:rPr>
                <w:rFonts w:hint="eastAsia" w:ascii="宋体" w:hAnsi="宋体" w:cs="宋体"/>
                <w:sz w:val="21"/>
                <w:szCs w:val="21"/>
                <w:highlight w:val="none"/>
                <w:lang w:val="en-US" w:eastAsia="zh-CN"/>
              </w:rPr>
              <w:t>评审</w:t>
            </w:r>
            <w:r>
              <w:rPr>
                <w:rFonts w:hint="eastAsia" w:ascii="宋体" w:hAnsi="宋体" w:eastAsia="宋体" w:cs="宋体"/>
                <w:sz w:val="21"/>
                <w:szCs w:val="21"/>
                <w:highlight w:val="none"/>
                <w:lang w:val="en-US" w:eastAsia="zh-CN"/>
              </w:rPr>
              <w:t>基准价格/</w:t>
            </w:r>
            <w:r>
              <w:rPr>
                <w:rFonts w:hint="eastAsia" w:ascii="宋体" w:hAnsi="宋体" w:cs="宋体"/>
                <w:sz w:val="21"/>
                <w:szCs w:val="21"/>
                <w:highlight w:val="none"/>
                <w:lang w:val="en-US" w:eastAsia="zh-CN"/>
              </w:rPr>
              <w:t>评审</w:t>
            </w:r>
            <w:r>
              <w:rPr>
                <w:rFonts w:hint="eastAsia" w:ascii="宋体" w:hAnsi="宋体" w:eastAsia="宋体" w:cs="宋体"/>
                <w:sz w:val="21"/>
                <w:szCs w:val="21"/>
                <w:highlight w:val="none"/>
                <w:lang w:val="en-US" w:eastAsia="zh-CN"/>
              </w:rPr>
              <w:t>价格）×10（保留小数点后2位，四舍五入）。</w:t>
            </w:r>
          </w:p>
          <w:p w14:paraId="1503F04E">
            <w:pPr>
              <w:widowControl/>
              <w:tabs>
                <w:tab w:val="decimal" w:pos="315"/>
                <w:tab w:val="left" w:pos="630"/>
              </w:tabs>
              <w:spacing w:line="36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价格得分（材料管理费率）=（</w:t>
            </w:r>
            <w:r>
              <w:rPr>
                <w:rFonts w:hint="eastAsia" w:ascii="宋体" w:hAnsi="宋体" w:cs="宋体"/>
                <w:sz w:val="21"/>
                <w:szCs w:val="21"/>
                <w:highlight w:val="none"/>
                <w:lang w:val="en-US" w:eastAsia="zh-CN"/>
              </w:rPr>
              <w:t>评审</w:t>
            </w:r>
            <w:r>
              <w:rPr>
                <w:rFonts w:hint="eastAsia" w:ascii="宋体" w:hAnsi="宋体" w:eastAsia="宋体" w:cs="宋体"/>
                <w:sz w:val="21"/>
                <w:szCs w:val="21"/>
                <w:highlight w:val="none"/>
                <w:lang w:val="en-US" w:eastAsia="zh-CN"/>
              </w:rPr>
              <w:t>基准价格/</w:t>
            </w:r>
            <w:r>
              <w:rPr>
                <w:rFonts w:hint="eastAsia" w:ascii="宋体" w:hAnsi="宋体" w:cs="宋体"/>
                <w:sz w:val="21"/>
                <w:szCs w:val="21"/>
                <w:highlight w:val="none"/>
                <w:lang w:val="en-US" w:eastAsia="zh-CN"/>
              </w:rPr>
              <w:t>评审</w:t>
            </w:r>
            <w:r>
              <w:rPr>
                <w:rFonts w:hint="eastAsia" w:ascii="宋体" w:hAnsi="宋体" w:eastAsia="宋体" w:cs="宋体"/>
                <w:sz w:val="21"/>
                <w:szCs w:val="21"/>
                <w:highlight w:val="none"/>
                <w:lang w:val="en-US" w:eastAsia="zh-CN"/>
              </w:rPr>
              <w:t>价格）×10（保留小数点后2位，四舍五入）。</w:t>
            </w:r>
          </w:p>
          <w:p w14:paraId="5D9E5444">
            <w:pPr>
              <w:pStyle w:val="17"/>
              <w:widowControl/>
              <w:spacing w:line="360" w:lineRule="exact"/>
              <w:ind w:firstLine="0" w:firstLineChars="0"/>
              <w:rPr>
                <w:rFonts w:hint="eastAsia" w:ascii="宋体" w:eastAsia="宋体" w:cs="宋体"/>
                <w:bCs/>
                <w:sz w:val="21"/>
                <w:szCs w:val="21"/>
              </w:rPr>
            </w:pPr>
            <w:r>
              <w:rPr>
                <w:rFonts w:hint="eastAsia" w:ascii="宋体" w:hAnsi="宋体" w:eastAsia="宋体" w:cs="宋体"/>
                <w:sz w:val="21"/>
                <w:szCs w:val="21"/>
                <w:highlight w:val="none"/>
                <w:lang w:val="en-US" w:eastAsia="zh-CN"/>
              </w:rPr>
              <w:t>价格得分（外加工管理费率）=（</w:t>
            </w:r>
            <w:r>
              <w:rPr>
                <w:rFonts w:hint="eastAsia" w:ascii="宋体" w:eastAsia="宋体" w:cs="宋体"/>
                <w:sz w:val="21"/>
                <w:szCs w:val="21"/>
                <w:highlight w:val="none"/>
                <w:lang w:val="en-US" w:eastAsia="zh-CN"/>
              </w:rPr>
              <w:t>评审</w:t>
            </w:r>
            <w:r>
              <w:rPr>
                <w:rFonts w:hint="eastAsia" w:ascii="宋体" w:hAnsi="宋体" w:eastAsia="宋体" w:cs="宋体"/>
                <w:sz w:val="21"/>
                <w:szCs w:val="21"/>
                <w:highlight w:val="none"/>
                <w:lang w:val="en-US" w:eastAsia="zh-CN"/>
              </w:rPr>
              <w:t>基准价格/</w:t>
            </w:r>
            <w:r>
              <w:rPr>
                <w:rFonts w:hint="eastAsia" w:ascii="宋体" w:eastAsia="宋体" w:cs="宋体"/>
                <w:sz w:val="21"/>
                <w:szCs w:val="21"/>
                <w:highlight w:val="none"/>
                <w:lang w:val="en-US" w:eastAsia="zh-CN"/>
              </w:rPr>
              <w:t>评审</w:t>
            </w:r>
            <w:r>
              <w:rPr>
                <w:rFonts w:hint="eastAsia" w:ascii="宋体" w:hAnsi="宋体" w:eastAsia="宋体" w:cs="宋体"/>
                <w:sz w:val="21"/>
                <w:szCs w:val="21"/>
                <w:highlight w:val="none"/>
                <w:lang w:val="en-US" w:eastAsia="zh-CN"/>
              </w:rPr>
              <w:t>价格）×10（保留小数点后2位，四舍五入）。</w:t>
            </w:r>
          </w:p>
        </w:tc>
        <w:tc>
          <w:tcPr>
            <w:tcW w:w="653" w:type="dxa"/>
            <w:vAlign w:val="center"/>
          </w:tcPr>
          <w:p w14:paraId="24E525E4">
            <w:pPr>
              <w:spacing w:line="360" w:lineRule="exact"/>
              <w:jc w:val="center"/>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0分</w:t>
            </w:r>
          </w:p>
        </w:tc>
      </w:tr>
      <w:tr w14:paraId="0892B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195" w:type="dxa"/>
            <w:gridSpan w:val="3"/>
            <w:vAlign w:val="center"/>
          </w:tcPr>
          <w:p w14:paraId="699CFF8E">
            <w:pPr>
              <w:pStyle w:val="17"/>
              <w:widowControl/>
              <w:spacing w:line="360" w:lineRule="exact"/>
              <w:ind w:firstLine="0" w:firstLineChars="0"/>
              <w:jc w:val="center"/>
              <w:rPr>
                <w:rFonts w:hint="eastAsia" w:ascii="宋体" w:eastAsia="宋体" w:cs="宋体"/>
                <w:bCs/>
                <w:sz w:val="21"/>
                <w:szCs w:val="21"/>
                <w:lang w:val="zh-CN"/>
              </w:rPr>
            </w:pPr>
            <w:r>
              <w:rPr>
                <w:rFonts w:hint="eastAsia" w:ascii="宋体" w:eastAsia="宋体" w:cs="宋体"/>
                <w:bCs/>
                <w:sz w:val="21"/>
                <w:szCs w:val="21"/>
                <w:lang w:val="zh-CN"/>
              </w:rPr>
              <w:t>合计</w:t>
            </w:r>
          </w:p>
        </w:tc>
        <w:tc>
          <w:tcPr>
            <w:tcW w:w="653" w:type="dxa"/>
            <w:vAlign w:val="center"/>
          </w:tcPr>
          <w:p w14:paraId="35A956F8">
            <w:pPr>
              <w:spacing w:line="360" w:lineRule="exact"/>
              <w:jc w:val="center"/>
              <w:rPr>
                <w:rFonts w:hint="eastAsia" w:ascii="宋体" w:hAnsi="宋体" w:cs="宋体"/>
                <w:szCs w:val="21"/>
              </w:rPr>
            </w:pPr>
          </w:p>
        </w:tc>
      </w:tr>
      <w:bookmarkEnd w:id="0"/>
    </w:tbl>
    <w:p w14:paraId="16635CF3">
      <w:pPr>
        <w:spacing w:line="360" w:lineRule="exact"/>
        <w:ind w:firstLine="420" w:firstLineChars="20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34"/>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D4745"/>
    <w:multiLevelType w:val="singleLevel"/>
    <w:tmpl w:val="B4AD4745"/>
    <w:lvl w:ilvl="0" w:tentative="0">
      <w:start w:val="1"/>
      <w:numFmt w:val="decimal"/>
      <w:suff w:val="nothing"/>
      <w:lvlText w:val="（%1）"/>
      <w:lvlJc w:val="left"/>
      <w:pPr>
        <w:ind w:left="105"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00EA5C2E"/>
    <w:rsid w:val="00280D3D"/>
    <w:rsid w:val="004F7D60"/>
    <w:rsid w:val="005A2D64"/>
    <w:rsid w:val="00726F79"/>
    <w:rsid w:val="00856F81"/>
    <w:rsid w:val="00A8354F"/>
    <w:rsid w:val="00DF0D5C"/>
    <w:rsid w:val="00E46AD2"/>
    <w:rsid w:val="00E51266"/>
    <w:rsid w:val="00EA5C2E"/>
    <w:rsid w:val="00EB1C0E"/>
    <w:rsid w:val="00F33A6C"/>
    <w:rsid w:val="0116312F"/>
    <w:rsid w:val="022632F0"/>
    <w:rsid w:val="0239040F"/>
    <w:rsid w:val="03267819"/>
    <w:rsid w:val="045D1075"/>
    <w:rsid w:val="058F1F56"/>
    <w:rsid w:val="05BD6377"/>
    <w:rsid w:val="06E72E78"/>
    <w:rsid w:val="077B0190"/>
    <w:rsid w:val="07AB423D"/>
    <w:rsid w:val="07F53FC7"/>
    <w:rsid w:val="085C484A"/>
    <w:rsid w:val="08917754"/>
    <w:rsid w:val="08CD207F"/>
    <w:rsid w:val="09570229"/>
    <w:rsid w:val="09C74DB0"/>
    <w:rsid w:val="09CF031F"/>
    <w:rsid w:val="0A3E104C"/>
    <w:rsid w:val="0A621193"/>
    <w:rsid w:val="0AA35A8D"/>
    <w:rsid w:val="0AC27E84"/>
    <w:rsid w:val="0ADF6709"/>
    <w:rsid w:val="0B031FF8"/>
    <w:rsid w:val="0B2A7D51"/>
    <w:rsid w:val="0B330D82"/>
    <w:rsid w:val="0B5252E0"/>
    <w:rsid w:val="0B5915B2"/>
    <w:rsid w:val="0B7A631C"/>
    <w:rsid w:val="0BF63EFD"/>
    <w:rsid w:val="0C344DB1"/>
    <w:rsid w:val="0C871385"/>
    <w:rsid w:val="0C8F77BA"/>
    <w:rsid w:val="0CEA79AB"/>
    <w:rsid w:val="0D244E26"/>
    <w:rsid w:val="0D7C5016"/>
    <w:rsid w:val="0E3A4E39"/>
    <w:rsid w:val="0E4831AB"/>
    <w:rsid w:val="0E5651F6"/>
    <w:rsid w:val="0E9B1118"/>
    <w:rsid w:val="0F0C1504"/>
    <w:rsid w:val="0FB36144"/>
    <w:rsid w:val="10001543"/>
    <w:rsid w:val="100B407B"/>
    <w:rsid w:val="113F222E"/>
    <w:rsid w:val="11CC5193"/>
    <w:rsid w:val="120450DA"/>
    <w:rsid w:val="12055A41"/>
    <w:rsid w:val="12C9238F"/>
    <w:rsid w:val="13157E18"/>
    <w:rsid w:val="135E0B3D"/>
    <w:rsid w:val="138A175B"/>
    <w:rsid w:val="14121DAC"/>
    <w:rsid w:val="142E20E6"/>
    <w:rsid w:val="14FC289A"/>
    <w:rsid w:val="15396F94"/>
    <w:rsid w:val="16012AC5"/>
    <w:rsid w:val="161E4477"/>
    <w:rsid w:val="16AA0397"/>
    <w:rsid w:val="16B167CC"/>
    <w:rsid w:val="170610F8"/>
    <w:rsid w:val="17070B85"/>
    <w:rsid w:val="172211AC"/>
    <w:rsid w:val="17476440"/>
    <w:rsid w:val="177949B5"/>
    <w:rsid w:val="18664ECD"/>
    <w:rsid w:val="195A5D0E"/>
    <w:rsid w:val="198164B4"/>
    <w:rsid w:val="198264C7"/>
    <w:rsid w:val="19A02B67"/>
    <w:rsid w:val="1A4851D4"/>
    <w:rsid w:val="1A710F7F"/>
    <w:rsid w:val="1B252653"/>
    <w:rsid w:val="1CA90EA4"/>
    <w:rsid w:val="1CB17D58"/>
    <w:rsid w:val="1CEB5018"/>
    <w:rsid w:val="1D090252"/>
    <w:rsid w:val="1D4F1A4B"/>
    <w:rsid w:val="1E023D5F"/>
    <w:rsid w:val="1F172074"/>
    <w:rsid w:val="2000702C"/>
    <w:rsid w:val="200D799B"/>
    <w:rsid w:val="20531559"/>
    <w:rsid w:val="20E47C7B"/>
    <w:rsid w:val="21251678"/>
    <w:rsid w:val="21507B40"/>
    <w:rsid w:val="21636166"/>
    <w:rsid w:val="2182320C"/>
    <w:rsid w:val="21B73ED8"/>
    <w:rsid w:val="22291947"/>
    <w:rsid w:val="22596E88"/>
    <w:rsid w:val="22F524FB"/>
    <w:rsid w:val="230B0532"/>
    <w:rsid w:val="2323226F"/>
    <w:rsid w:val="23234A89"/>
    <w:rsid w:val="232522DA"/>
    <w:rsid w:val="23256C77"/>
    <w:rsid w:val="23955CDE"/>
    <w:rsid w:val="23E83B9F"/>
    <w:rsid w:val="24406F1A"/>
    <w:rsid w:val="24791DF7"/>
    <w:rsid w:val="25A11649"/>
    <w:rsid w:val="25A8494F"/>
    <w:rsid w:val="25CD5C03"/>
    <w:rsid w:val="269009DE"/>
    <w:rsid w:val="26B14D2A"/>
    <w:rsid w:val="26DC1BC2"/>
    <w:rsid w:val="27117CD7"/>
    <w:rsid w:val="27B91B08"/>
    <w:rsid w:val="27EA6359"/>
    <w:rsid w:val="28E65204"/>
    <w:rsid w:val="29CC4423"/>
    <w:rsid w:val="29D67FA4"/>
    <w:rsid w:val="2A2B739C"/>
    <w:rsid w:val="2A432D46"/>
    <w:rsid w:val="2A7169DD"/>
    <w:rsid w:val="2A9F7BB6"/>
    <w:rsid w:val="2ACD0453"/>
    <w:rsid w:val="2AEF13BE"/>
    <w:rsid w:val="2D0F545C"/>
    <w:rsid w:val="2D216834"/>
    <w:rsid w:val="2DB84096"/>
    <w:rsid w:val="2E3B05C3"/>
    <w:rsid w:val="2EAB0AAB"/>
    <w:rsid w:val="2F1E2C53"/>
    <w:rsid w:val="300915AF"/>
    <w:rsid w:val="304C1E1A"/>
    <w:rsid w:val="30D140CD"/>
    <w:rsid w:val="30E93FBE"/>
    <w:rsid w:val="316A6BC9"/>
    <w:rsid w:val="31BC4D7D"/>
    <w:rsid w:val="32B85545"/>
    <w:rsid w:val="32FC4A8D"/>
    <w:rsid w:val="32FC6616"/>
    <w:rsid w:val="330557AD"/>
    <w:rsid w:val="33A672FD"/>
    <w:rsid w:val="33AC5A63"/>
    <w:rsid w:val="34403A44"/>
    <w:rsid w:val="346534DC"/>
    <w:rsid w:val="347E456C"/>
    <w:rsid w:val="34AE30A3"/>
    <w:rsid w:val="352761F5"/>
    <w:rsid w:val="35EA1EB9"/>
    <w:rsid w:val="3612225C"/>
    <w:rsid w:val="363A2F9F"/>
    <w:rsid w:val="364D069A"/>
    <w:rsid w:val="366C21D2"/>
    <w:rsid w:val="36CD5A73"/>
    <w:rsid w:val="37AD6244"/>
    <w:rsid w:val="37C568B0"/>
    <w:rsid w:val="380A3FE7"/>
    <w:rsid w:val="381454F7"/>
    <w:rsid w:val="38370059"/>
    <w:rsid w:val="391159AF"/>
    <w:rsid w:val="3A1A6AE5"/>
    <w:rsid w:val="3A2636DC"/>
    <w:rsid w:val="3ABB3E24"/>
    <w:rsid w:val="3B3140E6"/>
    <w:rsid w:val="3BC136BC"/>
    <w:rsid w:val="3BC9595B"/>
    <w:rsid w:val="3BDE4E43"/>
    <w:rsid w:val="3C2E0CC5"/>
    <w:rsid w:val="3CE33BBF"/>
    <w:rsid w:val="3DB2047D"/>
    <w:rsid w:val="3E141CB2"/>
    <w:rsid w:val="3E570EC6"/>
    <w:rsid w:val="3F283A52"/>
    <w:rsid w:val="3F6D1374"/>
    <w:rsid w:val="3FE14D80"/>
    <w:rsid w:val="4024246B"/>
    <w:rsid w:val="40607ABC"/>
    <w:rsid w:val="40640ABA"/>
    <w:rsid w:val="413A60AB"/>
    <w:rsid w:val="43B74B4E"/>
    <w:rsid w:val="43C8770C"/>
    <w:rsid w:val="45AC718B"/>
    <w:rsid w:val="45ED50AE"/>
    <w:rsid w:val="45F95539"/>
    <w:rsid w:val="469E110E"/>
    <w:rsid w:val="479C6D8B"/>
    <w:rsid w:val="48364026"/>
    <w:rsid w:val="488241D3"/>
    <w:rsid w:val="48C42A3E"/>
    <w:rsid w:val="49D62A28"/>
    <w:rsid w:val="4A9C1907"/>
    <w:rsid w:val="4AF10A80"/>
    <w:rsid w:val="4AF97CB6"/>
    <w:rsid w:val="4B56577F"/>
    <w:rsid w:val="4B6C4CC7"/>
    <w:rsid w:val="4BCB40E3"/>
    <w:rsid w:val="4BE5617B"/>
    <w:rsid w:val="4C12586E"/>
    <w:rsid w:val="4CA330E7"/>
    <w:rsid w:val="4CB07713"/>
    <w:rsid w:val="4CCD0706"/>
    <w:rsid w:val="4CF5766A"/>
    <w:rsid w:val="4CF87DD7"/>
    <w:rsid w:val="4DE84AD8"/>
    <w:rsid w:val="4E70527E"/>
    <w:rsid w:val="4E9B4F76"/>
    <w:rsid w:val="4EA10947"/>
    <w:rsid w:val="4EFE7A56"/>
    <w:rsid w:val="4F700B2E"/>
    <w:rsid w:val="51120D76"/>
    <w:rsid w:val="51D10F25"/>
    <w:rsid w:val="526206FA"/>
    <w:rsid w:val="528E29ED"/>
    <w:rsid w:val="52901F11"/>
    <w:rsid w:val="529908AC"/>
    <w:rsid w:val="529B480F"/>
    <w:rsid w:val="52F83F51"/>
    <w:rsid w:val="530C74BB"/>
    <w:rsid w:val="53121B8E"/>
    <w:rsid w:val="53C47D96"/>
    <w:rsid w:val="54B013B2"/>
    <w:rsid w:val="54B6171E"/>
    <w:rsid w:val="55706356"/>
    <w:rsid w:val="55D30AF4"/>
    <w:rsid w:val="565F4ABA"/>
    <w:rsid w:val="568961D0"/>
    <w:rsid w:val="56CD5E9D"/>
    <w:rsid w:val="5733709E"/>
    <w:rsid w:val="574A05B2"/>
    <w:rsid w:val="574A1CB5"/>
    <w:rsid w:val="579059CE"/>
    <w:rsid w:val="57C55E8A"/>
    <w:rsid w:val="57F66416"/>
    <w:rsid w:val="58937570"/>
    <w:rsid w:val="58DF2F7C"/>
    <w:rsid w:val="58FB31EE"/>
    <w:rsid w:val="59A04A68"/>
    <w:rsid w:val="59E167D6"/>
    <w:rsid w:val="5A183E5F"/>
    <w:rsid w:val="5AF8598C"/>
    <w:rsid w:val="5B1213E7"/>
    <w:rsid w:val="5B231A45"/>
    <w:rsid w:val="5BB3149D"/>
    <w:rsid w:val="5C594DF3"/>
    <w:rsid w:val="5C6202FE"/>
    <w:rsid w:val="5D0766E2"/>
    <w:rsid w:val="5D5B20F3"/>
    <w:rsid w:val="5D5F7676"/>
    <w:rsid w:val="5DAB3A7E"/>
    <w:rsid w:val="5DC46F3E"/>
    <w:rsid w:val="5E525F9E"/>
    <w:rsid w:val="5E58282F"/>
    <w:rsid w:val="5E9216C5"/>
    <w:rsid w:val="5EB31D07"/>
    <w:rsid w:val="5EC23ABB"/>
    <w:rsid w:val="5ECC67C9"/>
    <w:rsid w:val="5F075202"/>
    <w:rsid w:val="5F50274C"/>
    <w:rsid w:val="5F571ABE"/>
    <w:rsid w:val="5F832CD6"/>
    <w:rsid w:val="5FA31F5D"/>
    <w:rsid w:val="5FF852C4"/>
    <w:rsid w:val="608D6F8C"/>
    <w:rsid w:val="60A54AAB"/>
    <w:rsid w:val="60B06A3A"/>
    <w:rsid w:val="60C8402D"/>
    <w:rsid w:val="611C3D29"/>
    <w:rsid w:val="616C4593"/>
    <w:rsid w:val="62031A89"/>
    <w:rsid w:val="62061579"/>
    <w:rsid w:val="621C6FEF"/>
    <w:rsid w:val="62E775FD"/>
    <w:rsid w:val="62EA49F7"/>
    <w:rsid w:val="633B400F"/>
    <w:rsid w:val="634001E3"/>
    <w:rsid w:val="63634DBE"/>
    <w:rsid w:val="645962D8"/>
    <w:rsid w:val="64942E0C"/>
    <w:rsid w:val="652E373F"/>
    <w:rsid w:val="65683BA3"/>
    <w:rsid w:val="65D900EA"/>
    <w:rsid w:val="66A90E26"/>
    <w:rsid w:val="68332C5A"/>
    <w:rsid w:val="690B6A33"/>
    <w:rsid w:val="6ADF1456"/>
    <w:rsid w:val="6B0F149F"/>
    <w:rsid w:val="6B1D49E9"/>
    <w:rsid w:val="6C663340"/>
    <w:rsid w:val="6CCA5F8C"/>
    <w:rsid w:val="6D5D0BE7"/>
    <w:rsid w:val="6D61071B"/>
    <w:rsid w:val="6D9863E0"/>
    <w:rsid w:val="6E42305D"/>
    <w:rsid w:val="6E5E6C17"/>
    <w:rsid w:val="6F286276"/>
    <w:rsid w:val="6F413BF1"/>
    <w:rsid w:val="6F433E0D"/>
    <w:rsid w:val="6F490CF7"/>
    <w:rsid w:val="6F491DD6"/>
    <w:rsid w:val="6FC54822"/>
    <w:rsid w:val="6FD21F6F"/>
    <w:rsid w:val="70301438"/>
    <w:rsid w:val="70CC398E"/>
    <w:rsid w:val="70EF3AEB"/>
    <w:rsid w:val="71266A01"/>
    <w:rsid w:val="712F011B"/>
    <w:rsid w:val="714A76D4"/>
    <w:rsid w:val="716D2988"/>
    <w:rsid w:val="72801080"/>
    <w:rsid w:val="72A262B6"/>
    <w:rsid w:val="72C74D55"/>
    <w:rsid w:val="72C87D81"/>
    <w:rsid w:val="72CD743C"/>
    <w:rsid w:val="735A02FF"/>
    <w:rsid w:val="73644F94"/>
    <w:rsid w:val="739E1612"/>
    <w:rsid w:val="7405767A"/>
    <w:rsid w:val="74277170"/>
    <w:rsid w:val="74F160B9"/>
    <w:rsid w:val="759251A6"/>
    <w:rsid w:val="76790114"/>
    <w:rsid w:val="767A253F"/>
    <w:rsid w:val="76E23F0B"/>
    <w:rsid w:val="77D2097C"/>
    <w:rsid w:val="78281DF2"/>
    <w:rsid w:val="785C061A"/>
    <w:rsid w:val="78743289"/>
    <w:rsid w:val="79060450"/>
    <w:rsid w:val="7932248D"/>
    <w:rsid w:val="79366790"/>
    <w:rsid w:val="795D7670"/>
    <w:rsid w:val="79E077E8"/>
    <w:rsid w:val="7A416DDF"/>
    <w:rsid w:val="7A6D7F90"/>
    <w:rsid w:val="7A97325F"/>
    <w:rsid w:val="7B086CAC"/>
    <w:rsid w:val="7BBC35D3"/>
    <w:rsid w:val="7C023E77"/>
    <w:rsid w:val="7C232FFC"/>
    <w:rsid w:val="7C8415C1"/>
    <w:rsid w:val="7DDD71DA"/>
    <w:rsid w:val="7E114FDF"/>
    <w:rsid w:val="7E171E3C"/>
    <w:rsid w:val="7E3E26F6"/>
    <w:rsid w:val="7F51685D"/>
    <w:rsid w:val="7F8C2C66"/>
    <w:rsid w:val="7F945FBF"/>
    <w:rsid w:val="7FAE00C1"/>
    <w:rsid w:val="FED6F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tabs>
        <w:tab w:val="left" w:pos="840"/>
      </w:tabs>
      <w:adjustRightInd w:val="0"/>
      <w:snapToGrid w:val="0"/>
      <w:spacing w:line="360" w:lineRule="auto"/>
      <w:outlineLvl w:val="0"/>
    </w:pPr>
    <w:rPr>
      <w:rFonts w:ascii="宋体" w:hAnsi="宋体"/>
      <w:b/>
      <w:kern w:val="44"/>
      <w:sz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qFormat/>
    <w:uiPriority w:val="99"/>
    <w:pPr>
      <w:ind w:left="420" w:leftChars="200"/>
    </w:pPr>
  </w:style>
  <w:style w:type="paragraph" w:styleId="4">
    <w:name w:val="Normal Indent"/>
    <w:basedOn w:val="1"/>
    <w:qFormat/>
    <w:uiPriority w:val="0"/>
    <w:pPr>
      <w:ind w:firstLine="420"/>
    </w:pPr>
  </w:style>
  <w:style w:type="paragraph" w:styleId="5">
    <w:name w:val="annotation text"/>
    <w:basedOn w:val="1"/>
    <w:qFormat/>
    <w:uiPriority w:val="99"/>
  </w:style>
  <w:style w:type="paragraph" w:styleId="6">
    <w:name w:val="Body Text"/>
    <w:basedOn w:val="1"/>
    <w:next w:val="7"/>
    <w:qFormat/>
    <w:uiPriority w:val="0"/>
    <w:pPr>
      <w:spacing w:line="460" w:lineRule="exact"/>
    </w:pPr>
    <w:rPr>
      <w:rFonts w:ascii="宋体" w:hAnsi="宋体"/>
    </w:rPr>
  </w:style>
  <w:style w:type="paragraph" w:customStyle="1" w:styleId="7">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8">
    <w:name w:val="toc 5"/>
    <w:basedOn w:val="1"/>
    <w:next w:val="1"/>
    <w:qFormat/>
    <w:uiPriority w:val="0"/>
    <w:pPr>
      <w:ind w:left="840"/>
      <w:jc w:val="left"/>
    </w:pPr>
    <w:rPr>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First Indent"/>
    <w:basedOn w:val="6"/>
    <w:next w:val="1"/>
    <w:qFormat/>
    <w:uiPriority w:val="0"/>
    <w:pPr>
      <w:tabs>
        <w:tab w:val="decimal" w:pos="315"/>
        <w:tab w:val="left" w:pos="630"/>
      </w:tabs>
      <w:spacing w:after="120" w:afterLines="0" w:line="240" w:lineRule="auto"/>
      <w:ind w:firstLine="420" w:firstLineChars="100"/>
    </w:pPr>
    <w:rPr>
      <w:szCs w:val="24"/>
    </w:rPr>
  </w:style>
  <w:style w:type="paragraph" w:customStyle="1" w:styleId="14">
    <w:name w:val="正文内容"/>
    <w:basedOn w:val="15"/>
    <w:qFormat/>
    <w:uiPriority w:val="0"/>
    <w:pPr>
      <w:widowControl w:val="0"/>
      <w:tabs>
        <w:tab w:val="decimal" w:pos="315"/>
        <w:tab w:val="left" w:pos="630"/>
      </w:tabs>
      <w:spacing w:beforeLines="50" w:beforeAutospacing="0" w:afterLines="50" w:afterAutospacing="0" w:line="360" w:lineRule="auto"/>
      <w:ind w:firstLine="480" w:firstLineChars="200"/>
      <w:jc w:val="both"/>
    </w:pPr>
    <w:rPr>
      <w:rFonts w:ascii="Times New Roman" w:hAnsi="Times New Roman" w:cs="Times New Roman"/>
      <w:b w:val="0"/>
      <w:bCs w:val="0"/>
      <w:sz w:val="24"/>
      <w:szCs w:val="20"/>
    </w:rPr>
  </w:style>
  <w:style w:type="paragraph" w:customStyle="1" w:styleId="15">
    <w:name w:val="xl1789"/>
    <w:basedOn w:val="1"/>
    <w:qFormat/>
    <w:uiPriority w:val="0"/>
    <w:pPr>
      <w:widowControl/>
      <w:tabs>
        <w:tab w:val="decimal" w:pos="315"/>
        <w:tab w:val="left" w:pos="630"/>
      </w:tabs>
      <w:spacing w:before="100" w:beforeAutospacing="1" w:after="100" w:afterAutospacing="1"/>
      <w:jc w:val="center"/>
    </w:pPr>
    <w:rPr>
      <w:rFonts w:ascii="宋体" w:hAnsi="宋体" w:cs="宋体"/>
      <w:b/>
      <w:bCs/>
      <w:kern w:val="0"/>
      <w:sz w:val="36"/>
      <w:szCs w:val="36"/>
    </w:rPr>
  </w:style>
  <w:style w:type="paragraph" w:customStyle="1" w:styleId="16">
    <w:name w:val="表格文字"/>
    <w:basedOn w:val="1"/>
    <w:qFormat/>
    <w:uiPriority w:val="0"/>
    <w:pPr>
      <w:spacing w:before="25" w:after="25"/>
      <w:jc w:val="left"/>
    </w:pPr>
    <w:rPr>
      <w:bCs/>
      <w:spacing w:val="10"/>
      <w:kern w:val="0"/>
      <w:sz w:val="24"/>
    </w:rPr>
  </w:style>
  <w:style w:type="paragraph" w:customStyle="1" w:styleId="17">
    <w:name w:val="正文缩进2格"/>
    <w:basedOn w:val="1"/>
    <w:qFormat/>
    <w:uiPriority w:val="0"/>
    <w:pPr>
      <w:spacing w:line="600" w:lineRule="exact"/>
      <w:ind w:firstLine="639" w:firstLineChars="206"/>
    </w:pPr>
    <w:rPr>
      <w:rFonts w:ascii="仿宋_GB2312" w:hAnsi="宋体" w:eastAsia="仿宋_GB2312"/>
      <w:sz w:val="3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2445</Words>
  <Characters>2486</Characters>
  <Lines>57</Lines>
  <Paragraphs>47</Paragraphs>
  <TotalTime>27</TotalTime>
  <ScaleCrop>false</ScaleCrop>
  <LinksUpToDate>false</LinksUpToDate>
  <CharactersWithSpaces>2511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2024-07-26T16:44:00Z</dcterms:created>
  <dc:creator>Administrator</dc:creator>
  <cp:lastModifiedBy>燕</cp:lastModifiedBy>
  <dcterms:modified xsi:type="dcterms:W3CDTF">2025-07-30T07:07:54Z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A6C303D7301241B1BB8F8F0D591A9CAC</vt:lpwstr>
  </property>
  <property fmtid="{D5CDD505-2E9C-101B-9397-08002B2CF9AE}" pid="4" name="KSOTemplateDocerSaveRecord">
    <vt:lpwstr>eyJoZGlkIjoiMWVmZjBjODNiMjI1YTgzYTQ0YWU5YjdmMjFjOWI4MWUiLCJ1c2VySWQiOiI1MDEzNzQyOTUifQ==</vt:lpwstr>
  </property>
</Properties>
</file>