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B72A3">
      <w:pPr>
        <w:spacing w:line="360" w:lineRule="auto"/>
        <w:jc w:val="left"/>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8"/>
          <w:szCs w:val="28"/>
          <w:lang w:eastAsia="zh-CN"/>
          <w14:textFill>
            <w14:solidFill>
              <w14:schemeClr w14:val="tx1"/>
            </w14:solidFill>
          </w14:textFill>
        </w:rPr>
        <w:t>附件</w:t>
      </w:r>
      <w:r>
        <w:rPr>
          <w:rFonts w:hint="eastAsia" w:asciiTheme="minorEastAsia" w:hAnsiTheme="minorEastAsia" w:eastAsiaTheme="minorEastAsia"/>
          <w:b w:val="0"/>
          <w:bCs w:val="0"/>
          <w:color w:val="000000" w:themeColor="text1"/>
          <w:sz w:val="28"/>
          <w:szCs w:val="28"/>
          <w:lang w:val="en-US" w:eastAsia="zh-CN"/>
          <w14:textFill>
            <w14:solidFill>
              <w14:schemeClr w14:val="tx1"/>
            </w14:solidFill>
          </w14:textFill>
        </w:rPr>
        <w:t>1：</w:t>
      </w:r>
    </w:p>
    <w:p w14:paraId="4E87AD00">
      <w:pPr>
        <w:spacing w:line="360" w:lineRule="auto"/>
        <w:jc w:val="center"/>
        <w:rPr>
          <w:rFonts w:hint="eastAsia" w:asciiTheme="minorEastAsia" w:hAnsiTheme="minorEastAsia" w:eastAsiaTheme="minorEastAsia"/>
          <w:b/>
          <w:bCs/>
          <w:color w:val="000000" w:themeColor="text1"/>
          <w:sz w:val="36"/>
          <w:szCs w:val="36"/>
          <w14:textFill>
            <w14:solidFill>
              <w14:schemeClr w14:val="tx1"/>
            </w14:solidFill>
          </w14:textFill>
        </w:rPr>
      </w:pPr>
      <w:r>
        <w:rPr>
          <w:rFonts w:hint="eastAsia" w:asciiTheme="minorEastAsia" w:hAnsiTheme="minorEastAsia" w:eastAsiaTheme="minorEastAsia"/>
          <w:b/>
          <w:bCs/>
          <w:color w:val="000000" w:themeColor="text1"/>
          <w:sz w:val="36"/>
          <w:szCs w:val="36"/>
          <w:lang w:eastAsia="zh-CN"/>
          <w14:textFill>
            <w14:solidFill>
              <w14:schemeClr w14:val="tx1"/>
            </w14:solidFill>
          </w14:textFill>
        </w:rPr>
        <w:t>项目</w:t>
      </w:r>
      <w:r>
        <w:rPr>
          <w:rFonts w:hint="eastAsia" w:asciiTheme="minorEastAsia" w:hAnsiTheme="minorEastAsia" w:eastAsiaTheme="minorEastAsia"/>
          <w:b/>
          <w:bCs/>
          <w:color w:val="000000" w:themeColor="text1"/>
          <w:sz w:val="36"/>
          <w:szCs w:val="36"/>
          <w14:textFill>
            <w14:solidFill>
              <w14:schemeClr w14:val="tx1"/>
            </w14:solidFill>
          </w14:textFill>
        </w:rPr>
        <w:t>需求书</w:t>
      </w:r>
    </w:p>
    <w:p w14:paraId="164BCB38">
      <w:pPr>
        <w:pStyle w:val="76"/>
        <w:ind w:firstLine="48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总则</w:t>
      </w:r>
    </w:p>
    <w:p w14:paraId="4E6C4020">
      <w:pPr>
        <w:pStyle w:val="7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1、成交供应商必须按国家、行业的标准及采购文件的要求对本项目提供相应的货物及服务。</w:t>
      </w:r>
    </w:p>
    <w:p w14:paraId="639DD712">
      <w:pPr>
        <w:pStyle w:val="7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项目</w:t>
      </w:r>
      <w:r>
        <w:rPr>
          <w:rFonts w:hint="eastAsia"/>
          <w:color w:val="000000" w:themeColor="text1"/>
          <w:highlight w:val="none"/>
          <w14:textFill>
            <w14:solidFill>
              <w14:schemeClr w14:val="tx1"/>
            </w14:solidFill>
          </w14:textFill>
        </w:rPr>
        <w:t>需求书》中凡有“★”标识的内容条款(如有)被视为实质性响应项目、指标；</w:t>
      </w:r>
      <w:r>
        <w:rPr>
          <w:rFonts w:hint="eastAsia"/>
          <w:color w:val="000000" w:themeColor="text1"/>
          <w:highlight w:val="none"/>
          <w:lang w:val="en-US" w:eastAsia="zh-CN"/>
          <w14:textFill>
            <w14:solidFill>
              <w14:schemeClr w14:val="tx1"/>
            </w14:solidFill>
          </w14:textFill>
        </w:rPr>
        <w:t>响应供应商</w:t>
      </w:r>
      <w:r>
        <w:rPr>
          <w:rFonts w:hint="eastAsia"/>
          <w:color w:val="000000" w:themeColor="text1"/>
          <w:highlight w:val="none"/>
          <w14:textFill>
            <w14:solidFill>
              <w14:schemeClr w14:val="tx1"/>
            </w14:solidFill>
          </w14:textFill>
        </w:rPr>
        <w:t>必须对此做出回答并完全满足这些要求不可以出现任何负偏离，如果出现负偏离将被视为无效</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。凡有“▲”的内容（如有）为重点评审项目，供应商必须对该标识项目按照要求进行真实应答描述。</w:t>
      </w:r>
    </w:p>
    <w:p w14:paraId="6DFF984F">
      <w:pPr>
        <w:pStyle w:val="76"/>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、本项目由成交供应商负责采购文件对成交供应商要求的一切事宜及责任。响应报价中不得包含采购文件要求以外的内容，否则，在评</w:t>
      </w:r>
      <w:r>
        <w:rPr>
          <w:rFonts w:hint="eastAsia"/>
          <w:color w:val="000000" w:themeColor="text1"/>
          <w:highlight w:val="none"/>
          <w:lang w:val="en-US" w:eastAsia="zh-CN"/>
          <w14:textFill>
            <w14:solidFill>
              <w14:schemeClr w14:val="tx1"/>
            </w14:solidFill>
          </w14:textFill>
        </w:rPr>
        <w:t>审</w:t>
      </w:r>
      <w:r>
        <w:rPr>
          <w:rFonts w:hint="eastAsia"/>
          <w:color w:val="000000" w:themeColor="text1"/>
          <w:highlight w:val="none"/>
          <w14:textFill>
            <w14:solidFill>
              <w14:schemeClr w14:val="tx1"/>
            </w14:solidFill>
          </w14:textFill>
        </w:rPr>
        <w:t>时不予核减；若</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报价有缺漏项的，缺漏项部分的价格视为已包含在</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报价中，成交后不作任何调整，采购人将不再支付任何费用。</w:t>
      </w:r>
    </w:p>
    <w:p w14:paraId="1A6C7E7B">
      <w:pPr>
        <w:pStyle w:val="19"/>
        <w:ind w:firstLine="480" w:firstLineChars="200"/>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4、本项目不允许提交备选方案，不允许联合体响应及转包，</w:t>
      </w:r>
      <w:r>
        <w:rPr>
          <w:rFonts w:hint="eastAsia" w:ascii="宋体" w:hAnsi="宋体" w:eastAsia="宋体" w:cs="宋体"/>
          <w:color w:val="000000" w:themeColor="text1"/>
          <w:sz w:val="24"/>
          <w:szCs w:val="24"/>
          <w:highlight w:val="none"/>
          <w14:textFill>
            <w14:solidFill>
              <w14:schemeClr w14:val="tx1"/>
            </w14:solidFill>
          </w14:textFill>
        </w:rPr>
        <w:t>未经采购人同意</w:t>
      </w:r>
      <w:r>
        <w:rPr>
          <w:rFonts w:hint="eastAsia" w:ascii="宋体" w:hAnsi="宋体" w:eastAsia="宋体" w:cs="宋体"/>
          <w:color w:val="000000" w:themeColor="text1"/>
          <w:sz w:val="24"/>
          <w:szCs w:val="24"/>
          <w:highlight w:val="none"/>
          <w:lang w:eastAsia="zh-CN"/>
          <w14:textFill>
            <w14:solidFill>
              <w14:schemeClr w14:val="tx1"/>
            </w14:solidFill>
          </w14:textFill>
        </w:rPr>
        <w:t>不得</w:t>
      </w:r>
      <w:r>
        <w:rPr>
          <w:rFonts w:hint="eastAsia" w:ascii="宋体" w:hAnsi="宋体" w:eastAsia="宋体" w:cs="宋体"/>
          <w:color w:val="000000" w:themeColor="text1"/>
          <w:sz w:val="24"/>
          <w:szCs w:val="24"/>
          <w:highlight w:val="none"/>
          <w14:textFill>
            <w14:solidFill>
              <w14:schemeClr w14:val="tx1"/>
            </w14:solidFill>
          </w14:textFill>
        </w:rPr>
        <w:t>以任何方式分包本项目</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p w14:paraId="089A9C10">
      <w:pPr>
        <w:pStyle w:val="19"/>
        <w:rPr>
          <w:rFonts w:hint="default" w:ascii="宋体" w:hAnsi="宋体" w:eastAsia="宋体" w:cs="宋体"/>
          <w:b/>
          <w:color w:val="000000" w:themeColor="text1"/>
          <w:sz w:val="28"/>
          <w:szCs w:val="28"/>
          <w:lang w:val="en-US" w:eastAsia="zh-CN"/>
          <w14:textFill>
            <w14:solidFill>
              <w14:schemeClr w14:val="tx1"/>
            </w14:solidFill>
          </w14:textFill>
        </w:rPr>
      </w:pPr>
    </w:p>
    <w:p w14:paraId="0F42D17C">
      <w:pPr>
        <w:keepNext w:val="0"/>
        <w:keepLines w:val="0"/>
        <w:pageBreakBefore w:val="0"/>
        <w:widowControl w:val="0"/>
        <w:kinsoku/>
        <w:wordWrap/>
        <w:overflowPunct/>
        <w:topLinePunct w:val="0"/>
        <w:bidi w:val="0"/>
        <w:adjustRightInd/>
        <w:snapToGrid/>
        <w:spacing w:line="480" w:lineRule="exact"/>
        <w:ind w:firstLine="482" w:firstLineChars="200"/>
        <w:jc w:val="both"/>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一、项目基本情况</w:t>
      </w:r>
    </w:p>
    <w:p w14:paraId="725A3552">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1.项目名称：中山市黄圃人民医院202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-2027年度车辆维修保养服务采购项目</w:t>
      </w:r>
      <w:r>
        <w:rPr>
          <w:rFonts w:hint="eastAsia" w:ascii="宋体" w:hAnsi="宋体" w:eastAsia="宋体" w:cs="宋体"/>
          <w:color w:val="000000" w:themeColor="text1"/>
          <w:sz w:val="24"/>
          <w:szCs w:val="24"/>
          <w:highlight w:val="none"/>
          <w14:textFill>
            <w14:solidFill>
              <w14:schemeClr w14:val="tx1"/>
            </w14:solidFill>
          </w14:textFill>
        </w:rPr>
        <w:t>。</w:t>
      </w:r>
    </w:p>
    <w:p w14:paraId="62AD3E4C">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项目内容：负责医院共9辆公务用车（救护车5辆，其他车辆4辆）的定点维修服务，具体服务车辆数量、车型根据实际情况调整。</w:t>
      </w:r>
      <w:bookmarkStart w:id="2" w:name="_GoBack"/>
      <w:bookmarkEnd w:id="2"/>
    </w:p>
    <w:p w14:paraId="00FB7895">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3.服务期限：触发下列条件之一时合同结束，按先到达的为准：</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自合同约定生效之日起 2 年；</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项目预算金额使用完毕；</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项目预算剩余金额不足以开展或采购任何一项维修保养事项。</w:t>
      </w:r>
    </w:p>
    <w:p w14:paraId="1323413B">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4.预算金额：¥180000元（不含单次超1万元的维修，单次超1万元的维修需进行三家以上（含）议价）。</w:t>
      </w:r>
    </w:p>
    <w:p w14:paraId="4C2A6E6A">
      <w:pPr>
        <w:keepNext w:val="0"/>
        <w:keepLines w:val="0"/>
        <w:pageBreakBefore w:val="0"/>
        <w:widowControl w:val="0"/>
        <w:tabs>
          <w:tab w:val="left" w:pos="567"/>
        </w:tabs>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5.报价说明：本项目的车辆维修保养收费计价公式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车辆维修保养费=[工时定额×工时不含税单价＋材料进货不含税价×（1＋材料管理费率）＋外加工费不含税价×（1＋外加工管理费率）]×（1＋成交供应商</w:t>
      </w:r>
      <w:r>
        <w:rPr>
          <w:rFonts w:hint="eastAsia" w:cs="宋体"/>
          <w:color w:val="000000" w:themeColor="text1"/>
          <w:sz w:val="24"/>
          <w:szCs w:val="24"/>
          <w:highlight w:val="none"/>
          <w:lang w:eastAsia="zh-CN"/>
          <w14:textFill>
            <w14:solidFill>
              <w14:schemeClr w14:val="tx1"/>
            </w14:solidFill>
          </w14:textFill>
        </w:rPr>
        <w:t>有效</w:t>
      </w:r>
      <w:r>
        <w:rPr>
          <w:rFonts w:hint="eastAsia" w:ascii="宋体" w:hAnsi="宋体" w:eastAsia="宋体" w:cs="宋体"/>
          <w:color w:val="000000" w:themeColor="text1"/>
          <w:sz w:val="24"/>
          <w:szCs w:val="24"/>
          <w:highlight w:val="none"/>
          <w14:textFill>
            <w14:solidFill>
              <w14:schemeClr w14:val="tx1"/>
            </w14:solidFill>
          </w14:textFill>
        </w:rPr>
        <w:t>发票的开票税率）。供应商以上述公式的工时不含税单价（最高限价</w:t>
      </w:r>
      <w:r>
        <w:rPr>
          <w:rFonts w:hint="eastAsia"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 xml:space="preserve">元）、材料管理费率（费率限制在 </w:t>
      </w:r>
      <w:r>
        <w:rPr>
          <w:rFonts w:hint="eastAsia"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%以内）、外加工管理费率（费率限制在 </w:t>
      </w:r>
      <w:r>
        <w:rPr>
          <w:rFonts w:hint="eastAsia"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 xml:space="preserve"> - </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%以内）进行报价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采购人无须就本项目下除该报价外的服务向供应商支付任何额外费用，报价在合同执行期间是固定不变的，且不得以任何理由予以变更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响应报价不是固定价的响应文件将作为非响应性报价而予以拒绝</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供应商能提供常规维修报价。</w:t>
      </w:r>
    </w:p>
    <w:p w14:paraId="2672DE6A">
      <w:pPr>
        <w:keepNext w:val="0"/>
        <w:keepLines w:val="0"/>
        <w:pageBreakBefore w:val="0"/>
        <w:widowControl w:val="0"/>
        <w:kinsoku/>
        <w:wordWrap/>
        <w:overflowPunct/>
        <w:topLinePunct w:val="0"/>
        <w:bidi w:val="0"/>
        <w:adjustRightInd/>
        <w:snapToGrid/>
        <w:spacing w:line="480" w:lineRule="exact"/>
        <w:ind w:firstLine="482" w:firstLineChars="20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二、服务内容</w:t>
      </w:r>
    </w:p>
    <w:p w14:paraId="40984DDC">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1.定点维修车辆列表</w:t>
      </w:r>
      <w:r>
        <w:rPr>
          <w:rFonts w:hint="eastAsia" w:cs="宋体"/>
          <w:color w:val="000000" w:themeColor="text1"/>
          <w:sz w:val="24"/>
          <w:szCs w:val="24"/>
          <w:highlight w:val="none"/>
          <w:lang w:eastAsia="zh-CN"/>
          <w14:textFill>
            <w14:solidFill>
              <w14:schemeClr w14:val="tx1"/>
            </w14:solidFill>
          </w14:textFill>
        </w:rPr>
        <w:t>：</w:t>
      </w:r>
    </w:p>
    <w:tbl>
      <w:tblPr>
        <w:tblStyle w:val="21"/>
        <w:tblW w:w="4996"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1"/>
        <w:gridCol w:w="1205"/>
        <w:gridCol w:w="1142"/>
        <w:gridCol w:w="1111"/>
        <w:gridCol w:w="1199"/>
        <w:gridCol w:w="2624"/>
        <w:gridCol w:w="1263"/>
      </w:tblGrid>
      <w:tr w14:paraId="24FDFD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single" w:color="000000" w:sz="4" w:space="0"/>
              <w:left w:val="single" w:color="000000" w:sz="4" w:space="0"/>
              <w:bottom w:val="single" w:color="000000" w:sz="4" w:space="0"/>
              <w:right w:val="single" w:color="000000" w:sz="4" w:space="0"/>
            </w:tcBorders>
            <w:vAlign w:val="center"/>
          </w:tcPr>
          <w:p w14:paraId="475EA3EB">
            <w:pPr>
              <w:widowControl/>
              <w:spacing w:line="400" w:lineRule="exact"/>
              <w:jc w:val="center"/>
              <w:textAlignment w:val="center"/>
              <w:rPr>
                <w:rFonts w:hint="eastAsia" w:asciiTheme="minorEastAsia" w:hAnsiTheme="minorEastAsia" w:eastAsiaTheme="minorEastAsia"/>
                <w:b/>
                <w:bCs/>
                <w:color w:val="000000" w:themeColor="text1"/>
                <w:sz w:val="21"/>
                <w:szCs w:val="21"/>
                <w:lang w:bidi="ar"/>
                <w14:textFill>
                  <w14:solidFill>
                    <w14:schemeClr w14:val="tx1"/>
                  </w14:solidFill>
                </w14:textFill>
              </w:rPr>
            </w:pPr>
            <w:r>
              <w:rPr>
                <w:rFonts w:hint="eastAsia" w:asciiTheme="minorEastAsia" w:hAnsiTheme="minorEastAsia" w:eastAsiaTheme="minorEastAsia"/>
                <w:b/>
                <w:bCs/>
                <w:color w:val="000000" w:themeColor="text1"/>
                <w:sz w:val="21"/>
                <w:szCs w:val="21"/>
                <w:lang w:bidi="ar"/>
                <w14:textFill>
                  <w14:solidFill>
                    <w14:schemeClr w14:val="tx1"/>
                  </w14:solidFill>
                </w14:textFill>
              </w:rPr>
              <w:t>序号</w:t>
            </w:r>
          </w:p>
        </w:tc>
        <w:tc>
          <w:tcPr>
            <w:tcW w:w="652" w:type="pct"/>
            <w:tcBorders>
              <w:top w:val="single" w:color="000000" w:sz="4" w:space="0"/>
              <w:left w:val="nil"/>
              <w:bottom w:val="single" w:color="000000" w:sz="4" w:space="0"/>
              <w:right w:val="single" w:color="000000" w:sz="4" w:space="0"/>
            </w:tcBorders>
            <w:vAlign w:val="center"/>
          </w:tcPr>
          <w:p w14:paraId="35058B16">
            <w:pPr>
              <w:widowControl/>
              <w:spacing w:line="400" w:lineRule="exact"/>
              <w:jc w:val="center"/>
              <w:textAlignment w:val="center"/>
              <w:rPr>
                <w:rFonts w:hint="eastAsia" w:asciiTheme="minorEastAsia" w:hAnsiTheme="minorEastAsia" w:eastAsiaTheme="minorEastAsia"/>
                <w:b/>
                <w:bCs/>
                <w:color w:val="000000" w:themeColor="text1"/>
                <w:sz w:val="21"/>
                <w:szCs w:val="21"/>
                <w:lang w:bidi="ar"/>
                <w14:textFill>
                  <w14:solidFill>
                    <w14:schemeClr w14:val="tx1"/>
                  </w14:solidFill>
                </w14:textFill>
              </w:rPr>
            </w:pPr>
            <w:r>
              <w:rPr>
                <w:rFonts w:hint="eastAsia" w:asciiTheme="minorEastAsia" w:hAnsiTheme="minorEastAsia" w:eastAsiaTheme="minorEastAsia"/>
                <w:b/>
                <w:bCs/>
                <w:color w:val="000000" w:themeColor="text1"/>
                <w:sz w:val="21"/>
                <w:szCs w:val="21"/>
                <w:lang w:bidi="ar"/>
                <w14:textFill>
                  <w14:solidFill>
                    <w14:schemeClr w14:val="tx1"/>
                  </w14:solidFill>
                </w14:textFill>
              </w:rPr>
              <w:t>车牌号码</w:t>
            </w:r>
          </w:p>
        </w:tc>
        <w:tc>
          <w:tcPr>
            <w:tcW w:w="618" w:type="pct"/>
            <w:tcBorders>
              <w:top w:val="single" w:color="000000" w:sz="4" w:space="0"/>
              <w:left w:val="nil"/>
              <w:bottom w:val="single" w:color="000000" w:sz="4" w:space="0"/>
              <w:right w:val="single" w:color="000000" w:sz="4" w:space="0"/>
            </w:tcBorders>
            <w:vAlign w:val="center"/>
          </w:tcPr>
          <w:p w14:paraId="5AC65D2A">
            <w:pPr>
              <w:widowControl/>
              <w:spacing w:line="400" w:lineRule="exact"/>
              <w:jc w:val="center"/>
              <w:textAlignment w:val="center"/>
              <w:rPr>
                <w:rFonts w:hint="eastAsia" w:asciiTheme="minorEastAsia" w:hAnsiTheme="minorEastAsia" w:eastAsiaTheme="minorEastAsia"/>
                <w:b/>
                <w:bCs/>
                <w:color w:val="000000" w:themeColor="text1"/>
                <w:sz w:val="21"/>
                <w:szCs w:val="21"/>
                <w:lang w:bidi="ar"/>
                <w14:textFill>
                  <w14:solidFill>
                    <w14:schemeClr w14:val="tx1"/>
                  </w14:solidFill>
                </w14:textFill>
              </w:rPr>
            </w:pPr>
            <w:r>
              <w:rPr>
                <w:rFonts w:hint="eastAsia" w:asciiTheme="minorEastAsia" w:hAnsiTheme="minorEastAsia" w:eastAsiaTheme="minorEastAsia"/>
                <w:b/>
                <w:bCs/>
                <w:color w:val="000000" w:themeColor="text1"/>
                <w:sz w:val="21"/>
                <w:szCs w:val="21"/>
                <w:lang w:bidi="ar"/>
                <w14:textFill>
                  <w14:solidFill>
                    <w14:schemeClr w14:val="tx1"/>
                  </w14:solidFill>
                </w14:textFill>
              </w:rPr>
              <w:t>类型</w:t>
            </w:r>
          </w:p>
        </w:tc>
        <w:tc>
          <w:tcPr>
            <w:tcW w:w="601" w:type="pct"/>
            <w:tcBorders>
              <w:top w:val="single" w:color="000000" w:sz="4" w:space="0"/>
              <w:left w:val="nil"/>
              <w:bottom w:val="single" w:color="000000" w:sz="4" w:space="0"/>
              <w:right w:val="single" w:color="000000" w:sz="4" w:space="0"/>
            </w:tcBorders>
            <w:vAlign w:val="center"/>
          </w:tcPr>
          <w:p w14:paraId="4CB3E0A8">
            <w:pPr>
              <w:widowControl/>
              <w:spacing w:line="400" w:lineRule="exact"/>
              <w:jc w:val="center"/>
              <w:textAlignment w:val="center"/>
              <w:rPr>
                <w:rFonts w:hint="eastAsia" w:asciiTheme="minorEastAsia" w:hAnsiTheme="minorEastAsia" w:eastAsiaTheme="minorEastAsia"/>
                <w:b/>
                <w:bCs/>
                <w:color w:val="000000" w:themeColor="text1"/>
                <w:sz w:val="21"/>
                <w:szCs w:val="21"/>
                <w:lang w:bidi="ar"/>
                <w14:textFill>
                  <w14:solidFill>
                    <w14:schemeClr w14:val="tx1"/>
                  </w14:solidFill>
                </w14:textFill>
              </w:rPr>
            </w:pPr>
            <w:r>
              <w:rPr>
                <w:rFonts w:hint="eastAsia" w:asciiTheme="minorEastAsia" w:hAnsiTheme="minorEastAsia" w:eastAsiaTheme="minorEastAsia"/>
                <w:b/>
                <w:bCs/>
                <w:color w:val="000000" w:themeColor="text1"/>
                <w:sz w:val="21"/>
                <w:szCs w:val="21"/>
                <w:lang w:bidi="ar"/>
                <w14:textFill>
                  <w14:solidFill>
                    <w14:schemeClr w14:val="tx1"/>
                  </w14:solidFill>
                </w14:textFill>
              </w:rPr>
              <w:t>座位</w:t>
            </w:r>
          </w:p>
          <w:p w14:paraId="43CD14F5">
            <w:pPr>
              <w:widowControl/>
              <w:spacing w:line="400" w:lineRule="exact"/>
              <w:jc w:val="center"/>
              <w:textAlignment w:val="center"/>
              <w:rPr>
                <w:rFonts w:hint="default" w:asciiTheme="minorEastAsia" w:hAnsiTheme="minorEastAsia" w:eastAsiaTheme="minorEastAsia"/>
                <w:b/>
                <w:bCs/>
                <w:color w:val="000000" w:themeColor="text1"/>
                <w:sz w:val="21"/>
                <w:szCs w:val="21"/>
                <w:lang w:val="en-US" w:eastAsia="zh-CN" w:bidi="ar"/>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bidi="ar"/>
                <w14:textFill>
                  <w14:solidFill>
                    <w14:schemeClr w14:val="tx1"/>
                  </w14:solidFill>
                </w14:textFill>
              </w:rPr>
              <w:t>(单位：座)</w:t>
            </w:r>
          </w:p>
        </w:tc>
        <w:tc>
          <w:tcPr>
            <w:tcW w:w="649" w:type="pct"/>
            <w:tcBorders>
              <w:top w:val="single" w:color="000000" w:sz="4" w:space="0"/>
              <w:left w:val="nil"/>
              <w:bottom w:val="single" w:color="000000" w:sz="4" w:space="0"/>
              <w:right w:val="single" w:color="000000" w:sz="4" w:space="0"/>
            </w:tcBorders>
            <w:vAlign w:val="center"/>
          </w:tcPr>
          <w:p w14:paraId="0EFE69B5">
            <w:pPr>
              <w:widowControl/>
              <w:spacing w:line="400" w:lineRule="exact"/>
              <w:jc w:val="center"/>
              <w:textAlignment w:val="center"/>
              <w:rPr>
                <w:rFonts w:hint="eastAsia" w:asciiTheme="minorEastAsia" w:hAnsiTheme="minorEastAsia" w:eastAsiaTheme="minorEastAsia"/>
                <w:b/>
                <w:bCs/>
                <w:color w:val="000000" w:themeColor="text1"/>
                <w:sz w:val="21"/>
                <w:szCs w:val="21"/>
                <w:lang w:bidi="ar"/>
                <w14:textFill>
                  <w14:solidFill>
                    <w14:schemeClr w14:val="tx1"/>
                  </w14:solidFill>
                </w14:textFill>
              </w:rPr>
            </w:pPr>
            <w:r>
              <w:rPr>
                <w:rFonts w:hint="eastAsia" w:asciiTheme="minorEastAsia" w:hAnsiTheme="minorEastAsia" w:eastAsiaTheme="minorEastAsia"/>
                <w:b/>
                <w:bCs/>
                <w:color w:val="000000" w:themeColor="text1"/>
                <w:sz w:val="21"/>
                <w:szCs w:val="21"/>
                <w:lang w:bidi="ar"/>
                <w14:textFill>
                  <w14:solidFill>
                    <w14:schemeClr w14:val="tx1"/>
                  </w14:solidFill>
                </w14:textFill>
              </w:rPr>
              <w:t>排量</w:t>
            </w:r>
          </w:p>
          <w:p w14:paraId="08A80B7E">
            <w:pPr>
              <w:widowControl/>
              <w:spacing w:line="400" w:lineRule="exact"/>
              <w:jc w:val="center"/>
              <w:textAlignment w:val="center"/>
              <w:rPr>
                <w:rFonts w:hint="eastAsia" w:asciiTheme="minorEastAsia" w:hAnsiTheme="minorEastAsia" w:eastAsiaTheme="minorEastAsia"/>
                <w:b/>
                <w:bCs/>
                <w:color w:val="000000" w:themeColor="text1"/>
                <w:sz w:val="21"/>
                <w:szCs w:val="21"/>
                <w:lang w:eastAsia="zh-CN" w:bidi="ar"/>
                <w14:textFill>
                  <w14:solidFill>
                    <w14:schemeClr w14:val="tx1"/>
                  </w14:solidFill>
                </w14:textFill>
              </w:rPr>
            </w:pPr>
            <w:r>
              <w:rPr>
                <w:rFonts w:hint="eastAsia" w:asciiTheme="minorEastAsia" w:hAnsiTheme="minorEastAsia" w:eastAsiaTheme="minorEastAsia"/>
                <w:b/>
                <w:bCs/>
                <w:color w:val="000000" w:themeColor="text1"/>
                <w:sz w:val="21"/>
                <w:szCs w:val="21"/>
                <w:lang w:eastAsia="zh-CN" w:bidi="ar"/>
                <w14:textFill>
                  <w14:solidFill>
                    <w14:schemeClr w14:val="tx1"/>
                  </w14:solidFill>
                </w14:textFill>
              </w:rPr>
              <w:t>（单位：</w:t>
            </w:r>
            <w:r>
              <w:rPr>
                <w:rFonts w:hint="eastAsia" w:asciiTheme="minorEastAsia" w:hAnsiTheme="minorEastAsia" w:eastAsiaTheme="minorEastAsia"/>
                <w:b/>
                <w:bCs/>
                <w:color w:val="000000" w:themeColor="text1"/>
                <w:sz w:val="21"/>
                <w:szCs w:val="21"/>
                <w:lang w:val="en-US" w:eastAsia="zh-CN" w:bidi="ar"/>
                <w14:textFill>
                  <w14:solidFill>
                    <w14:schemeClr w14:val="tx1"/>
                  </w14:solidFill>
                </w14:textFill>
              </w:rPr>
              <w:t>L</w:t>
            </w:r>
            <w:r>
              <w:rPr>
                <w:rFonts w:hint="eastAsia" w:asciiTheme="minorEastAsia" w:hAnsiTheme="minorEastAsia" w:eastAsiaTheme="minorEastAsia"/>
                <w:b/>
                <w:bCs/>
                <w:color w:val="000000" w:themeColor="text1"/>
                <w:sz w:val="21"/>
                <w:szCs w:val="21"/>
                <w:lang w:eastAsia="zh-CN" w:bidi="ar"/>
                <w14:textFill>
                  <w14:solidFill>
                    <w14:schemeClr w14:val="tx1"/>
                  </w14:solidFill>
                </w14:textFill>
              </w:rPr>
              <w:t>）</w:t>
            </w:r>
          </w:p>
        </w:tc>
        <w:tc>
          <w:tcPr>
            <w:tcW w:w="1420" w:type="pct"/>
            <w:tcBorders>
              <w:top w:val="single" w:color="000000" w:sz="4" w:space="0"/>
              <w:left w:val="nil"/>
              <w:bottom w:val="single" w:color="000000" w:sz="4" w:space="0"/>
              <w:right w:val="single" w:color="000000" w:sz="4" w:space="0"/>
            </w:tcBorders>
            <w:vAlign w:val="center"/>
          </w:tcPr>
          <w:p w14:paraId="28E93C20">
            <w:pPr>
              <w:widowControl/>
              <w:spacing w:line="400" w:lineRule="exact"/>
              <w:jc w:val="center"/>
              <w:textAlignment w:val="center"/>
              <w:rPr>
                <w:rFonts w:hint="eastAsia" w:asciiTheme="minorEastAsia" w:hAnsiTheme="minorEastAsia" w:eastAsiaTheme="minorEastAsia"/>
                <w:b/>
                <w:bCs/>
                <w:color w:val="000000" w:themeColor="text1"/>
                <w:sz w:val="21"/>
                <w:szCs w:val="21"/>
                <w:lang w:bidi="ar"/>
                <w14:textFill>
                  <w14:solidFill>
                    <w14:schemeClr w14:val="tx1"/>
                  </w14:solidFill>
                </w14:textFill>
              </w:rPr>
            </w:pPr>
            <w:r>
              <w:rPr>
                <w:rFonts w:hint="eastAsia" w:asciiTheme="minorEastAsia" w:hAnsiTheme="minorEastAsia" w:eastAsiaTheme="minorEastAsia"/>
                <w:b/>
                <w:bCs/>
                <w:color w:val="000000" w:themeColor="text1"/>
                <w:sz w:val="21"/>
                <w:szCs w:val="21"/>
                <w:lang w:bidi="ar"/>
                <w14:textFill>
                  <w14:solidFill>
                    <w14:schemeClr w14:val="tx1"/>
                  </w14:solidFill>
                </w14:textFill>
              </w:rPr>
              <w:t>品牌型号</w:t>
            </w:r>
          </w:p>
        </w:tc>
        <w:tc>
          <w:tcPr>
            <w:tcW w:w="683" w:type="pct"/>
            <w:tcBorders>
              <w:top w:val="single" w:color="000000" w:sz="4" w:space="0"/>
              <w:left w:val="nil"/>
              <w:bottom w:val="single" w:color="000000" w:sz="4" w:space="0"/>
              <w:right w:val="single" w:color="000000" w:sz="4" w:space="0"/>
            </w:tcBorders>
            <w:vAlign w:val="center"/>
          </w:tcPr>
          <w:p w14:paraId="2E628987">
            <w:pPr>
              <w:widowControl/>
              <w:spacing w:line="400" w:lineRule="exact"/>
              <w:jc w:val="center"/>
              <w:textAlignment w:val="center"/>
              <w:rPr>
                <w:rFonts w:hint="eastAsia" w:asciiTheme="minorEastAsia" w:hAnsiTheme="minorEastAsia" w:eastAsiaTheme="minorEastAsia"/>
                <w:b/>
                <w:bCs/>
                <w:color w:val="000000" w:themeColor="text1"/>
                <w:sz w:val="21"/>
                <w:szCs w:val="21"/>
                <w:lang w:bidi="ar"/>
                <w14:textFill>
                  <w14:solidFill>
                    <w14:schemeClr w14:val="tx1"/>
                  </w14:solidFill>
                </w14:textFill>
              </w:rPr>
            </w:pPr>
            <w:r>
              <w:rPr>
                <w:rFonts w:hint="eastAsia" w:asciiTheme="minorEastAsia" w:hAnsiTheme="minorEastAsia" w:eastAsiaTheme="minorEastAsia"/>
                <w:b/>
                <w:bCs/>
                <w:color w:val="000000" w:themeColor="text1"/>
                <w:sz w:val="21"/>
                <w:szCs w:val="21"/>
                <w:lang w:bidi="ar"/>
                <w14:textFill>
                  <w14:solidFill>
                    <w14:schemeClr w14:val="tx1"/>
                  </w14:solidFill>
                </w14:textFill>
              </w:rPr>
              <w:t>购置年月</w:t>
            </w:r>
          </w:p>
        </w:tc>
      </w:tr>
      <w:tr w14:paraId="32A802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nil"/>
              <w:left w:val="single" w:color="000000" w:sz="4" w:space="0"/>
              <w:bottom w:val="single" w:color="000000" w:sz="4" w:space="0"/>
              <w:right w:val="single" w:color="000000" w:sz="4" w:space="0"/>
            </w:tcBorders>
            <w:vAlign w:val="center"/>
          </w:tcPr>
          <w:p w14:paraId="0B798E17">
            <w:pPr>
              <w:widowControl/>
              <w:spacing w:line="40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652" w:type="pct"/>
            <w:tcBorders>
              <w:top w:val="nil"/>
              <w:left w:val="nil"/>
              <w:bottom w:val="single" w:color="000000" w:sz="4" w:space="0"/>
              <w:right w:val="single" w:color="000000" w:sz="4" w:space="0"/>
            </w:tcBorders>
            <w:vAlign w:val="center"/>
          </w:tcPr>
          <w:p w14:paraId="294A7EFB">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粤TY1955</w:t>
            </w:r>
          </w:p>
        </w:tc>
        <w:tc>
          <w:tcPr>
            <w:tcW w:w="618" w:type="pct"/>
            <w:tcBorders>
              <w:top w:val="nil"/>
              <w:left w:val="nil"/>
              <w:bottom w:val="single" w:color="000000" w:sz="4" w:space="0"/>
              <w:right w:val="single" w:color="000000" w:sz="4" w:space="0"/>
            </w:tcBorders>
            <w:vAlign w:val="center"/>
          </w:tcPr>
          <w:p w14:paraId="52861832">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轻型客车</w:t>
            </w:r>
          </w:p>
        </w:tc>
        <w:tc>
          <w:tcPr>
            <w:tcW w:w="601" w:type="pct"/>
            <w:tcBorders>
              <w:top w:val="nil"/>
              <w:left w:val="nil"/>
              <w:bottom w:val="single" w:color="000000" w:sz="4" w:space="0"/>
              <w:right w:val="single" w:color="000000" w:sz="4" w:space="0"/>
            </w:tcBorders>
            <w:vAlign w:val="center"/>
          </w:tcPr>
          <w:p w14:paraId="67B58F26">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7</w:t>
            </w:r>
          </w:p>
        </w:tc>
        <w:tc>
          <w:tcPr>
            <w:tcW w:w="649" w:type="pct"/>
            <w:tcBorders>
              <w:top w:val="nil"/>
              <w:left w:val="nil"/>
              <w:bottom w:val="single" w:color="000000" w:sz="4" w:space="0"/>
              <w:right w:val="single" w:color="000000" w:sz="4" w:space="0"/>
            </w:tcBorders>
            <w:vAlign w:val="center"/>
          </w:tcPr>
          <w:p w14:paraId="19D085A9">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2.4</w:t>
            </w:r>
          </w:p>
        </w:tc>
        <w:tc>
          <w:tcPr>
            <w:tcW w:w="1420" w:type="pct"/>
            <w:tcBorders>
              <w:top w:val="nil"/>
              <w:left w:val="nil"/>
              <w:bottom w:val="single" w:color="000000" w:sz="4" w:space="0"/>
              <w:right w:val="single" w:color="000000" w:sz="4" w:space="0"/>
            </w:tcBorders>
            <w:vAlign w:val="center"/>
          </w:tcPr>
          <w:p w14:paraId="6AF34DCE">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别克牌-SGM6515ATA</w:t>
            </w:r>
          </w:p>
        </w:tc>
        <w:tc>
          <w:tcPr>
            <w:tcW w:w="683" w:type="pct"/>
            <w:tcBorders>
              <w:top w:val="nil"/>
              <w:left w:val="nil"/>
              <w:bottom w:val="single" w:color="000000" w:sz="4" w:space="0"/>
              <w:right w:val="single" w:color="000000" w:sz="4" w:space="0"/>
            </w:tcBorders>
            <w:vAlign w:val="center"/>
          </w:tcPr>
          <w:p w14:paraId="1E02E0AE">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2008/2/2</w:t>
            </w:r>
          </w:p>
        </w:tc>
      </w:tr>
      <w:tr w14:paraId="532583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nil"/>
              <w:left w:val="single" w:color="000000" w:sz="4" w:space="0"/>
              <w:bottom w:val="single" w:color="000000" w:sz="4" w:space="0"/>
              <w:right w:val="single" w:color="000000" w:sz="4" w:space="0"/>
            </w:tcBorders>
            <w:vAlign w:val="center"/>
          </w:tcPr>
          <w:p w14:paraId="4AB1ADB4">
            <w:pPr>
              <w:widowControl/>
              <w:spacing w:line="40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52" w:type="pct"/>
            <w:tcBorders>
              <w:top w:val="nil"/>
              <w:left w:val="nil"/>
              <w:bottom w:val="single" w:color="000000" w:sz="4" w:space="0"/>
              <w:right w:val="single" w:color="000000" w:sz="4" w:space="0"/>
            </w:tcBorders>
            <w:vAlign w:val="center"/>
          </w:tcPr>
          <w:p w14:paraId="75770AC8">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粤T955T3</w:t>
            </w:r>
          </w:p>
        </w:tc>
        <w:tc>
          <w:tcPr>
            <w:tcW w:w="618" w:type="pct"/>
            <w:tcBorders>
              <w:top w:val="nil"/>
              <w:left w:val="nil"/>
              <w:bottom w:val="single" w:color="000000" w:sz="4" w:space="0"/>
              <w:right w:val="single" w:color="000000" w:sz="4" w:space="0"/>
            </w:tcBorders>
            <w:vAlign w:val="center"/>
          </w:tcPr>
          <w:p w14:paraId="60B23B32">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皮卡车</w:t>
            </w:r>
          </w:p>
        </w:tc>
        <w:tc>
          <w:tcPr>
            <w:tcW w:w="601" w:type="pct"/>
            <w:tcBorders>
              <w:top w:val="nil"/>
              <w:left w:val="nil"/>
              <w:bottom w:val="single" w:color="000000" w:sz="4" w:space="0"/>
              <w:right w:val="single" w:color="000000" w:sz="4" w:space="0"/>
            </w:tcBorders>
            <w:vAlign w:val="center"/>
          </w:tcPr>
          <w:p w14:paraId="6328B782">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5</w:t>
            </w:r>
          </w:p>
        </w:tc>
        <w:tc>
          <w:tcPr>
            <w:tcW w:w="649" w:type="pct"/>
            <w:tcBorders>
              <w:top w:val="nil"/>
              <w:left w:val="nil"/>
              <w:bottom w:val="single" w:color="000000" w:sz="4" w:space="0"/>
              <w:right w:val="single" w:color="000000" w:sz="4" w:space="0"/>
            </w:tcBorders>
            <w:vAlign w:val="center"/>
          </w:tcPr>
          <w:p w14:paraId="5CA370D1">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2.4</w:t>
            </w:r>
          </w:p>
        </w:tc>
        <w:tc>
          <w:tcPr>
            <w:tcW w:w="1420" w:type="pct"/>
            <w:tcBorders>
              <w:top w:val="nil"/>
              <w:left w:val="nil"/>
              <w:bottom w:val="single" w:color="000000" w:sz="4" w:space="0"/>
              <w:right w:val="single" w:color="000000" w:sz="4" w:space="0"/>
            </w:tcBorders>
            <w:vAlign w:val="center"/>
          </w:tcPr>
          <w:p w14:paraId="49CBB09A">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尼桑-ZN1034U2G5</w:t>
            </w:r>
          </w:p>
        </w:tc>
        <w:tc>
          <w:tcPr>
            <w:tcW w:w="683" w:type="pct"/>
            <w:tcBorders>
              <w:top w:val="nil"/>
              <w:left w:val="nil"/>
              <w:bottom w:val="single" w:color="000000" w:sz="4" w:space="0"/>
              <w:right w:val="single" w:color="000000" w:sz="4" w:space="0"/>
            </w:tcBorders>
            <w:vAlign w:val="center"/>
          </w:tcPr>
          <w:p w14:paraId="3B472CCC">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2016/3/4</w:t>
            </w:r>
          </w:p>
        </w:tc>
      </w:tr>
      <w:tr w14:paraId="7D9EE9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nil"/>
              <w:left w:val="single" w:color="000000" w:sz="4" w:space="0"/>
              <w:bottom w:val="single" w:color="000000" w:sz="4" w:space="0"/>
              <w:right w:val="single" w:color="000000" w:sz="4" w:space="0"/>
            </w:tcBorders>
            <w:vAlign w:val="center"/>
          </w:tcPr>
          <w:p w14:paraId="2689AD2A">
            <w:pPr>
              <w:widowControl/>
              <w:spacing w:line="40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p>
        </w:tc>
        <w:tc>
          <w:tcPr>
            <w:tcW w:w="652" w:type="pct"/>
            <w:tcBorders>
              <w:top w:val="nil"/>
              <w:left w:val="nil"/>
              <w:bottom w:val="single" w:color="000000" w:sz="4" w:space="0"/>
              <w:right w:val="single" w:color="000000" w:sz="4" w:space="0"/>
            </w:tcBorders>
            <w:vAlign w:val="center"/>
          </w:tcPr>
          <w:p w14:paraId="498A222D">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粤T0395D</w:t>
            </w:r>
          </w:p>
        </w:tc>
        <w:tc>
          <w:tcPr>
            <w:tcW w:w="618" w:type="pct"/>
            <w:tcBorders>
              <w:top w:val="nil"/>
              <w:left w:val="nil"/>
              <w:bottom w:val="single" w:color="000000" w:sz="4" w:space="0"/>
              <w:right w:val="single" w:color="000000" w:sz="4" w:space="0"/>
            </w:tcBorders>
            <w:vAlign w:val="center"/>
          </w:tcPr>
          <w:p w14:paraId="58471EA4">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救护车</w:t>
            </w:r>
          </w:p>
        </w:tc>
        <w:tc>
          <w:tcPr>
            <w:tcW w:w="601" w:type="pct"/>
            <w:tcBorders>
              <w:top w:val="nil"/>
              <w:left w:val="nil"/>
              <w:bottom w:val="single" w:color="000000" w:sz="4" w:space="0"/>
              <w:right w:val="single" w:color="000000" w:sz="4" w:space="0"/>
            </w:tcBorders>
            <w:vAlign w:val="center"/>
          </w:tcPr>
          <w:p w14:paraId="7265B5B2">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7</w:t>
            </w:r>
          </w:p>
        </w:tc>
        <w:tc>
          <w:tcPr>
            <w:tcW w:w="649" w:type="pct"/>
            <w:tcBorders>
              <w:top w:val="nil"/>
              <w:left w:val="nil"/>
              <w:bottom w:val="single" w:color="000000" w:sz="4" w:space="0"/>
              <w:right w:val="single" w:color="000000" w:sz="4" w:space="0"/>
            </w:tcBorders>
            <w:vAlign w:val="center"/>
          </w:tcPr>
          <w:p w14:paraId="7F27BE38">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2.4</w:t>
            </w:r>
          </w:p>
        </w:tc>
        <w:tc>
          <w:tcPr>
            <w:tcW w:w="1420" w:type="pct"/>
            <w:tcBorders>
              <w:top w:val="nil"/>
              <w:left w:val="nil"/>
              <w:bottom w:val="single" w:color="000000" w:sz="4" w:space="0"/>
              <w:right w:val="single" w:color="000000" w:sz="4" w:space="0"/>
            </w:tcBorders>
            <w:vAlign w:val="center"/>
          </w:tcPr>
          <w:p w14:paraId="1EEC5553">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广通客车-GPY5031XJHSHTJ0</w:t>
            </w:r>
          </w:p>
        </w:tc>
        <w:tc>
          <w:tcPr>
            <w:tcW w:w="683" w:type="pct"/>
            <w:tcBorders>
              <w:top w:val="nil"/>
              <w:left w:val="nil"/>
              <w:bottom w:val="single" w:color="000000" w:sz="4" w:space="0"/>
              <w:right w:val="single" w:color="000000" w:sz="4" w:space="0"/>
            </w:tcBorders>
            <w:vAlign w:val="center"/>
          </w:tcPr>
          <w:p w14:paraId="28A48E30">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2017/1/25</w:t>
            </w:r>
          </w:p>
        </w:tc>
      </w:tr>
      <w:tr w14:paraId="6C8A6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nil"/>
              <w:left w:val="single" w:color="000000" w:sz="4" w:space="0"/>
              <w:bottom w:val="single" w:color="000000" w:sz="4" w:space="0"/>
              <w:right w:val="single" w:color="000000" w:sz="4" w:space="0"/>
            </w:tcBorders>
            <w:vAlign w:val="center"/>
          </w:tcPr>
          <w:p w14:paraId="285842CE">
            <w:pPr>
              <w:widowControl/>
              <w:spacing w:line="40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652" w:type="pct"/>
            <w:tcBorders>
              <w:top w:val="nil"/>
              <w:left w:val="nil"/>
              <w:bottom w:val="single" w:color="000000" w:sz="4" w:space="0"/>
              <w:right w:val="single" w:color="000000" w:sz="4" w:space="0"/>
            </w:tcBorders>
            <w:vAlign w:val="center"/>
          </w:tcPr>
          <w:p w14:paraId="004E0734">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粤T120L3</w:t>
            </w:r>
          </w:p>
        </w:tc>
        <w:tc>
          <w:tcPr>
            <w:tcW w:w="618" w:type="pct"/>
            <w:tcBorders>
              <w:top w:val="nil"/>
              <w:left w:val="nil"/>
              <w:bottom w:val="single" w:color="000000" w:sz="4" w:space="0"/>
              <w:right w:val="single" w:color="000000" w:sz="4" w:space="0"/>
            </w:tcBorders>
            <w:vAlign w:val="center"/>
          </w:tcPr>
          <w:p w14:paraId="31F44F61">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救护车</w:t>
            </w:r>
          </w:p>
        </w:tc>
        <w:tc>
          <w:tcPr>
            <w:tcW w:w="601" w:type="pct"/>
            <w:tcBorders>
              <w:top w:val="nil"/>
              <w:left w:val="nil"/>
              <w:bottom w:val="single" w:color="000000" w:sz="4" w:space="0"/>
              <w:right w:val="single" w:color="000000" w:sz="4" w:space="0"/>
            </w:tcBorders>
            <w:vAlign w:val="center"/>
          </w:tcPr>
          <w:p w14:paraId="515809E7">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7</w:t>
            </w:r>
          </w:p>
        </w:tc>
        <w:tc>
          <w:tcPr>
            <w:tcW w:w="649" w:type="pct"/>
            <w:tcBorders>
              <w:top w:val="nil"/>
              <w:left w:val="nil"/>
              <w:bottom w:val="single" w:color="000000" w:sz="4" w:space="0"/>
              <w:right w:val="single" w:color="000000" w:sz="4" w:space="0"/>
            </w:tcBorders>
            <w:vAlign w:val="center"/>
          </w:tcPr>
          <w:p w14:paraId="54BB4A76">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2.4</w:t>
            </w:r>
          </w:p>
        </w:tc>
        <w:tc>
          <w:tcPr>
            <w:tcW w:w="1420" w:type="pct"/>
            <w:tcBorders>
              <w:top w:val="nil"/>
              <w:left w:val="nil"/>
              <w:bottom w:val="single" w:color="000000" w:sz="4" w:space="0"/>
              <w:right w:val="single" w:color="000000" w:sz="4" w:space="0"/>
            </w:tcBorders>
            <w:vAlign w:val="center"/>
          </w:tcPr>
          <w:p w14:paraId="70FAD5F9">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广通牌-GTQ5035XJH</w:t>
            </w:r>
          </w:p>
        </w:tc>
        <w:tc>
          <w:tcPr>
            <w:tcW w:w="683" w:type="pct"/>
            <w:tcBorders>
              <w:top w:val="nil"/>
              <w:left w:val="nil"/>
              <w:bottom w:val="single" w:color="000000" w:sz="4" w:space="0"/>
              <w:right w:val="single" w:color="000000" w:sz="4" w:space="0"/>
            </w:tcBorders>
            <w:vAlign w:val="center"/>
          </w:tcPr>
          <w:p w14:paraId="22D9B68E">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2015/9/16</w:t>
            </w:r>
          </w:p>
        </w:tc>
      </w:tr>
      <w:tr w14:paraId="24AD9D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nil"/>
              <w:left w:val="single" w:color="000000" w:sz="4" w:space="0"/>
              <w:bottom w:val="single" w:color="000000" w:sz="4" w:space="0"/>
              <w:right w:val="single" w:color="000000" w:sz="4" w:space="0"/>
            </w:tcBorders>
            <w:vAlign w:val="center"/>
          </w:tcPr>
          <w:p w14:paraId="612296DC">
            <w:pPr>
              <w:widowControl/>
              <w:spacing w:line="40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p>
        </w:tc>
        <w:tc>
          <w:tcPr>
            <w:tcW w:w="652" w:type="pct"/>
            <w:tcBorders>
              <w:top w:val="nil"/>
              <w:left w:val="nil"/>
              <w:bottom w:val="single" w:color="000000" w:sz="4" w:space="0"/>
              <w:right w:val="single" w:color="000000" w:sz="4" w:space="0"/>
            </w:tcBorders>
            <w:vAlign w:val="center"/>
          </w:tcPr>
          <w:p w14:paraId="407BCA6A">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粤T21332</w:t>
            </w:r>
          </w:p>
        </w:tc>
        <w:tc>
          <w:tcPr>
            <w:tcW w:w="618" w:type="pct"/>
            <w:tcBorders>
              <w:top w:val="nil"/>
              <w:left w:val="nil"/>
              <w:bottom w:val="single" w:color="000000" w:sz="4" w:space="0"/>
              <w:right w:val="single" w:color="000000" w:sz="4" w:space="0"/>
            </w:tcBorders>
            <w:vAlign w:val="center"/>
          </w:tcPr>
          <w:p w14:paraId="0522C73C">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中型客车</w:t>
            </w:r>
          </w:p>
        </w:tc>
        <w:tc>
          <w:tcPr>
            <w:tcW w:w="601" w:type="pct"/>
            <w:tcBorders>
              <w:top w:val="nil"/>
              <w:left w:val="nil"/>
              <w:bottom w:val="single" w:color="000000" w:sz="4" w:space="0"/>
              <w:right w:val="single" w:color="000000" w:sz="4" w:space="0"/>
            </w:tcBorders>
            <w:vAlign w:val="center"/>
          </w:tcPr>
          <w:p w14:paraId="58645526">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11</w:t>
            </w:r>
          </w:p>
        </w:tc>
        <w:tc>
          <w:tcPr>
            <w:tcW w:w="649" w:type="pct"/>
            <w:tcBorders>
              <w:top w:val="nil"/>
              <w:left w:val="nil"/>
              <w:bottom w:val="single" w:color="000000" w:sz="4" w:space="0"/>
              <w:right w:val="single" w:color="000000" w:sz="4" w:space="0"/>
            </w:tcBorders>
            <w:vAlign w:val="center"/>
          </w:tcPr>
          <w:p w14:paraId="02FE0F9D">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2.6</w:t>
            </w:r>
          </w:p>
        </w:tc>
        <w:tc>
          <w:tcPr>
            <w:tcW w:w="1420" w:type="pct"/>
            <w:tcBorders>
              <w:top w:val="nil"/>
              <w:left w:val="nil"/>
              <w:bottom w:val="single" w:color="000000" w:sz="4" w:space="0"/>
              <w:right w:val="single" w:color="000000" w:sz="4" w:space="0"/>
            </w:tcBorders>
            <w:vAlign w:val="center"/>
          </w:tcPr>
          <w:p w14:paraId="799AA7B0">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金杯-SY6521G2S3BG</w:t>
            </w:r>
          </w:p>
        </w:tc>
        <w:tc>
          <w:tcPr>
            <w:tcW w:w="683" w:type="pct"/>
            <w:tcBorders>
              <w:top w:val="nil"/>
              <w:left w:val="nil"/>
              <w:bottom w:val="single" w:color="000000" w:sz="4" w:space="0"/>
              <w:right w:val="single" w:color="000000" w:sz="4" w:space="0"/>
            </w:tcBorders>
            <w:vAlign w:val="center"/>
          </w:tcPr>
          <w:p w14:paraId="3967179F">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2010/2/5</w:t>
            </w:r>
          </w:p>
        </w:tc>
      </w:tr>
      <w:tr w14:paraId="3C0B53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nil"/>
              <w:left w:val="single" w:color="000000" w:sz="4" w:space="0"/>
              <w:bottom w:val="single" w:color="000000" w:sz="4" w:space="0"/>
              <w:right w:val="single" w:color="000000" w:sz="4" w:space="0"/>
            </w:tcBorders>
            <w:vAlign w:val="center"/>
          </w:tcPr>
          <w:p w14:paraId="4748A4A3">
            <w:pPr>
              <w:widowControl/>
              <w:spacing w:line="40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c>
          <w:tcPr>
            <w:tcW w:w="652" w:type="pct"/>
            <w:tcBorders>
              <w:top w:val="nil"/>
              <w:left w:val="nil"/>
              <w:bottom w:val="single" w:color="000000" w:sz="4" w:space="0"/>
              <w:right w:val="single" w:color="000000" w:sz="4" w:space="0"/>
            </w:tcBorders>
            <w:vAlign w:val="center"/>
          </w:tcPr>
          <w:p w14:paraId="3D3C82CB">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粤TT779R</w:t>
            </w:r>
          </w:p>
        </w:tc>
        <w:tc>
          <w:tcPr>
            <w:tcW w:w="618" w:type="pct"/>
            <w:tcBorders>
              <w:top w:val="nil"/>
              <w:left w:val="nil"/>
              <w:bottom w:val="single" w:color="000000" w:sz="4" w:space="0"/>
              <w:right w:val="single" w:color="000000" w:sz="4" w:space="0"/>
            </w:tcBorders>
            <w:vAlign w:val="center"/>
          </w:tcPr>
          <w:p w14:paraId="3F83D81B">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救护车</w:t>
            </w:r>
          </w:p>
        </w:tc>
        <w:tc>
          <w:tcPr>
            <w:tcW w:w="601" w:type="pct"/>
            <w:tcBorders>
              <w:top w:val="nil"/>
              <w:left w:val="nil"/>
              <w:bottom w:val="single" w:color="000000" w:sz="4" w:space="0"/>
              <w:right w:val="single" w:color="000000" w:sz="4" w:space="0"/>
            </w:tcBorders>
            <w:vAlign w:val="center"/>
          </w:tcPr>
          <w:p w14:paraId="0034790C">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8</w:t>
            </w:r>
          </w:p>
        </w:tc>
        <w:tc>
          <w:tcPr>
            <w:tcW w:w="649" w:type="pct"/>
            <w:tcBorders>
              <w:top w:val="nil"/>
              <w:left w:val="nil"/>
              <w:bottom w:val="single" w:color="000000" w:sz="4" w:space="0"/>
              <w:right w:val="single" w:color="000000" w:sz="4" w:space="0"/>
            </w:tcBorders>
            <w:vAlign w:val="center"/>
          </w:tcPr>
          <w:p w14:paraId="7084CB9D">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2.198</w:t>
            </w:r>
          </w:p>
        </w:tc>
        <w:tc>
          <w:tcPr>
            <w:tcW w:w="1420" w:type="pct"/>
            <w:tcBorders>
              <w:top w:val="nil"/>
              <w:left w:val="nil"/>
              <w:bottom w:val="single" w:color="000000" w:sz="4" w:space="0"/>
              <w:right w:val="single" w:color="000000" w:sz="4" w:space="0"/>
            </w:tcBorders>
            <w:vAlign w:val="center"/>
          </w:tcPr>
          <w:p w14:paraId="13AB8E68">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宇舟牌-GPY5040XJHJ0</w:t>
            </w:r>
          </w:p>
        </w:tc>
        <w:tc>
          <w:tcPr>
            <w:tcW w:w="683" w:type="pct"/>
            <w:tcBorders>
              <w:top w:val="nil"/>
              <w:left w:val="nil"/>
              <w:bottom w:val="single" w:color="000000" w:sz="4" w:space="0"/>
              <w:right w:val="single" w:color="000000" w:sz="4" w:space="0"/>
            </w:tcBorders>
            <w:vAlign w:val="center"/>
          </w:tcPr>
          <w:p w14:paraId="3A06152A">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2020/6/30</w:t>
            </w:r>
          </w:p>
        </w:tc>
      </w:tr>
      <w:tr w14:paraId="573E6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nil"/>
              <w:left w:val="single" w:color="000000" w:sz="4" w:space="0"/>
              <w:bottom w:val="single" w:color="000000" w:sz="4" w:space="0"/>
              <w:right w:val="single" w:color="000000" w:sz="4" w:space="0"/>
            </w:tcBorders>
            <w:vAlign w:val="center"/>
          </w:tcPr>
          <w:p w14:paraId="56BC153B">
            <w:pPr>
              <w:widowControl/>
              <w:spacing w:line="40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w:t>
            </w:r>
          </w:p>
        </w:tc>
        <w:tc>
          <w:tcPr>
            <w:tcW w:w="652" w:type="pct"/>
            <w:tcBorders>
              <w:top w:val="nil"/>
              <w:left w:val="nil"/>
              <w:bottom w:val="single" w:color="000000" w:sz="4" w:space="0"/>
              <w:right w:val="single" w:color="000000" w:sz="4" w:space="0"/>
            </w:tcBorders>
            <w:vAlign w:val="center"/>
          </w:tcPr>
          <w:p w14:paraId="4869B9A7">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粤T6359C</w:t>
            </w:r>
          </w:p>
        </w:tc>
        <w:tc>
          <w:tcPr>
            <w:tcW w:w="618" w:type="pct"/>
            <w:tcBorders>
              <w:top w:val="nil"/>
              <w:left w:val="nil"/>
              <w:bottom w:val="single" w:color="000000" w:sz="4" w:space="0"/>
              <w:right w:val="single" w:color="000000" w:sz="4" w:space="0"/>
            </w:tcBorders>
            <w:vAlign w:val="center"/>
          </w:tcPr>
          <w:p w14:paraId="185231A5">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救护车</w:t>
            </w:r>
          </w:p>
        </w:tc>
        <w:tc>
          <w:tcPr>
            <w:tcW w:w="601" w:type="pct"/>
            <w:tcBorders>
              <w:top w:val="nil"/>
              <w:left w:val="nil"/>
              <w:bottom w:val="single" w:color="000000" w:sz="4" w:space="0"/>
              <w:right w:val="single" w:color="000000" w:sz="4" w:space="0"/>
            </w:tcBorders>
            <w:vAlign w:val="center"/>
          </w:tcPr>
          <w:p w14:paraId="45D4E3F5">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8</w:t>
            </w:r>
          </w:p>
        </w:tc>
        <w:tc>
          <w:tcPr>
            <w:tcW w:w="649" w:type="pct"/>
            <w:tcBorders>
              <w:top w:val="nil"/>
              <w:left w:val="nil"/>
              <w:bottom w:val="single" w:color="000000" w:sz="4" w:space="0"/>
              <w:right w:val="single" w:color="000000" w:sz="4" w:space="0"/>
            </w:tcBorders>
            <w:vAlign w:val="center"/>
          </w:tcPr>
          <w:p w14:paraId="3C980807">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2.198</w:t>
            </w:r>
          </w:p>
        </w:tc>
        <w:tc>
          <w:tcPr>
            <w:tcW w:w="1420" w:type="pct"/>
            <w:tcBorders>
              <w:top w:val="nil"/>
              <w:left w:val="nil"/>
              <w:bottom w:val="single" w:color="000000" w:sz="4" w:space="0"/>
              <w:right w:val="single" w:color="000000" w:sz="4" w:space="0"/>
            </w:tcBorders>
            <w:vAlign w:val="center"/>
          </w:tcPr>
          <w:p w14:paraId="18D04C26">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宇舟牌-GPY5040XJHJ1</w:t>
            </w:r>
          </w:p>
        </w:tc>
        <w:tc>
          <w:tcPr>
            <w:tcW w:w="683" w:type="pct"/>
            <w:tcBorders>
              <w:top w:val="nil"/>
              <w:left w:val="nil"/>
              <w:bottom w:val="single" w:color="000000" w:sz="4" w:space="0"/>
              <w:right w:val="single" w:color="000000" w:sz="4" w:space="0"/>
            </w:tcBorders>
            <w:vAlign w:val="center"/>
          </w:tcPr>
          <w:p w14:paraId="08DA4552">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2022/6/29</w:t>
            </w:r>
          </w:p>
        </w:tc>
      </w:tr>
      <w:tr w14:paraId="61AB1D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nil"/>
              <w:left w:val="single" w:color="000000" w:sz="4" w:space="0"/>
              <w:bottom w:val="single" w:color="000000" w:sz="4" w:space="0"/>
              <w:right w:val="single" w:color="000000" w:sz="4" w:space="0"/>
            </w:tcBorders>
            <w:vAlign w:val="center"/>
          </w:tcPr>
          <w:p w14:paraId="113701E3">
            <w:pPr>
              <w:widowControl/>
              <w:spacing w:line="40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w:t>
            </w:r>
          </w:p>
        </w:tc>
        <w:tc>
          <w:tcPr>
            <w:tcW w:w="652" w:type="pct"/>
            <w:tcBorders>
              <w:top w:val="nil"/>
              <w:left w:val="nil"/>
              <w:bottom w:val="single" w:color="000000" w:sz="4" w:space="0"/>
              <w:right w:val="single" w:color="000000" w:sz="4" w:space="0"/>
            </w:tcBorders>
            <w:vAlign w:val="center"/>
          </w:tcPr>
          <w:p w14:paraId="0D374D15">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粤T519US</w:t>
            </w:r>
          </w:p>
        </w:tc>
        <w:tc>
          <w:tcPr>
            <w:tcW w:w="618" w:type="pct"/>
            <w:tcBorders>
              <w:top w:val="nil"/>
              <w:left w:val="nil"/>
              <w:bottom w:val="single" w:color="000000" w:sz="4" w:space="0"/>
              <w:right w:val="single" w:color="000000" w:sz="4" w:space="0"/>
            </w:tcBorders>
            <w:vAlign w:val="center"/>
          </w:tcPr>
          <w:p w14:paraId="2085115A">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救护车</w:t>
            </w:r>
          </w:p>
        </w:tc>
        <w:tc>
          <w:tcPr>
            <w:tcW w:w="601" w:type="pct"/>
            <w:tcBorders>
              <w:top w:val="nil"/>
              <w:left w:val="nil"/>
              <w:bottom w:val="single" w:color="000000" w:sz="4" w:space="0"/>
              <w:right w:val="single" w:color="000000" w:sz="4" w:space="0"/>
            </w:tcBorders>
            <w:vAlign w:val="center"/>
          </w:tcPr>
          <w:p w14:paraId="302D2AB6">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8</w:t>
            </w:r>
          </w:p>
        </w:tc>
        <w:tc>
          <w:tcPr>
            <w:tcW w:w="649" w:type="pct"/>
            <w:tcBorders>
              <w:top w:val="nil"/>
              <w:left w:val="nil"/>
              <w:bottom w:val="single" w:color="000000" w:sz="4" w:space="0"/>
              <w:right w:val="single" w:color="000000" w:sz="4" w:space="0"/>
            </w:tcBorders>
            <w:vAlign w:val="center"/>
          </w:tcPr>
          <w:p w14:paraId="3239FD3A">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2.198</w:t>
            </w:r>
          </w:p>
        </w:tc>
        <w:tc>
          <w:tcPr>
            <w:tcW w:w="1420" w:type="pct"/>
            <w:tcBorders>
              <w:top w:val="nil"/>
              <w:left w:val="nil"/>
              <w:bottom w:val="single" w:color="000000" w:sz="4" w:space="0"/>
              <w:right w:val="single" w:color="000000" w:sz="4" w:space="0"/>
            </w:tcBorders>
            <w:vAlign w:val="center"/>
          </w:tcPr>
          <w:p w14:paraId="0D81916C">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宇舟牌-GPY5040XJHJ3</w:t>
            </w:r>
          </w:p>
        </w:tc>
        <w:tc>
          <w:tcPr>
            <w:tcW w:w="683" w:type="pct"/>
            <w:tcBorders>
              <w:top w:val="nil"/>
              <w:left w:val="nil"/>
              <w:bottom w:val="single" w:color="000000" w:sz="4" w:space="0"/>
              <w:right w:val="single" w:color="000000" w:sz="4" w:space="0"/>
            </w:tcBorders>
            <w:vAlign w:val="center"/>
          </w:tcPr>
          <w:p w14:paraId="6CA73C6E">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2022/4/7</w:t>
            </w:r>
          </w:p>
        </w:tc>
      </w:tr>
      <w:tr w14:paraId="6E7E5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4" w:type="pct"/>
            <w:tcBorders>
              <w:top w:val="nil"/>
              <w:left w:val="single" w:color="000000" w:sz="4" w:space="0"/>
              <w:bottom w:val="single" w:color="000000" w:sz="4" w:space="0"/>
              <w:right w:val="single" w:color="000000" w:sz="4" w:space="0"/>
            </w:tcBorders>
            <w:vAlign w:val="center"/>
          </w:tcPr>
          <w:p w14:paraId="00AFE911">
            <w:pPr>
              <w:widowControl/>
              <w:spacing w:line="400" w:lineRule="exact"/>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w:t>
            </w:r>
          </w:p>
        </w:tc>
        <w:tc>
          <w:tcPr>
            <w:tcW w:w="652" w:type="pct"/>
            <w:tcBorders>
              <w:top w:val="nil"/>
              <w:left w:val="nil"/>
              <w:bottom w:val="single" w:color="000000" w:sz="4" w:space="0"/>
              <w:right w:val="single" w:color="000000" w:sz="4" w:space="0"/>
            </w:tcBorders>
            <w:vAlign w:val="center"/>
          </w:tcPr>
          <w:p w14:paraId="77422704">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粤T87697</w:t>
            </w:r>
          </w:p>
        </w:tc>
        <w:tc>
          <w:tcPr>
            <w:tcW w:w="618" w:type="pct"/>
            <w:tcBorders>
              <w:top w:val="nil"/>
              <w:left w:val="nil"/>
              <w:bottom w:val="single" w:color="000000" w:sz="4" w:space="0"/>
              <w:right w:val="single" w:color="000000" w:sz="4" w:space="0"/>
            </w:tcBorders>
            <w:vAlign w:val="center"/>
          </w:tcPr>
          <w:p w14:paraId="60924B30">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大型专用客车</w:t>
            </w:r>
          </w:p>
        </w:tc>
        <w:tc>
          <w:tcPr>
            <w:tcW w:w="601" w:type="pct"/>
            <w:tcBorders>
              <w:top w:val="nil"/>
              <w:left w:val="nil"/>
              <w:bottom w:val="single" w:color="000000" w:sz="4" w:space="0"/>
              <w:right w:val="single" w:color="000000" w:sz="4" w:space="0"/>
            </w:tcBorders>
            <w:vAlign w:val="center"/>
          </w:tcPr>
          <w:p w14:paraId="46E566D2">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3</w:t>
            </w:r>
          </w:p>
        </w:tc>
        <w:tc>
          <w:tcPr>
            <w:tcW w:w="649" w:type="pct"/>
            <w:tcBorders>
              <w:top w:val="nil"/>
              <w:left w:val="nil"/>
              <w:bottom w:val="single" w:color="000000" w:sz="4" w:space="0"/>
              <w:right w:val="single" w:color="000000" w:sz="4" w:space="0"/>
            </w:tcBorders>
            <w:vAlign w:val="center"/>
          </w:tcPr>
          <w:p w14:paraId="15A453B1">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5.1</w:t>
            </w:r>
          </w:p>
        </w:tc>
        <w:tc>
          <w:tcPr>
            <w:tcW w:w="1420" w:type="pct"/>
            <w:tcBorders>
              <w:top w:val="nil"/>
              <w:left w:val="nil"/>
              <w:bottom w:val="single" w:color="000000" w:sz="4" w:space="0"/>
              <w:right w:val="single" w:color="000000" w:sz="4" w:space="0"/>
            </w:tcBorders>
            <w:vAlign w:val="center"/>
          </w:tcPr>
          <w:p w14:paraId="437ABDDE">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海格牌-KLQ5121XYLE61</w:t>
            </w:r>
          </w:p>
        </w:tc>
        <w:tc>
          <w:tcPr>
            <w:tcW w:w="683" w:type="pct"/>
            <w:tcBorders>
              <w:top w:val="nil"/>
              <w:left w:val="nil"/>
              <w:bottom w:val="single" w:color="000000" w:sz="4" w:space="0"/>
              <w:right w:val="single" w:color="000000" w:sz="4" w:space="0"/>
            </w:tcBorders>
            <w:vAlign w:val="center"/>
          </w:tcPr>
          <w:p w14:paraId="737000CD">
            <w:pPr>
              <w:widowControl/>
              <w:spacing w:line="400" w:lineRule="exact"/>
              <w:jc w:val="center"/>
              <w:textAlignment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bidi="ar"/>
                <w14:textFill>
                  <w14:solidFill>
                    <w14:schemeClr w14:val="tx1"/>
                  </w14:solidFill>
                </w14:textFill>
              </w:rPr>
              <w:t>2023/3/24</w:t>
            </w:r>
          </w:p>
        </w:tc>
      </w:tr>
    </w:tbl>
    <w:p w14:paraId="24E7276E">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服务内容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服务项目：车辆日常维护、一级维护、二级维护、汽车小修、汽车大修、总成修理、汽车专项修理、现场急修快修、救援、免费二十四小时响应拖车、提醒采购人车辆到期保养年审时间点、代办车辆年审和其他汽车维修服务项目。</w:t>
      </w:r>
      <w:bookmarkStart w:id="0" w:name="_Hlk202082487"/>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）服务期采购人有权对服务车辆的数量、类型进行调整，成交供应商需无条件接受并提供同等服务，否则采购人有权终止服务合同并追究相应的违约责任。</w:t>
      </w:r>
    </w:p>
    <w:bookmarkEnd w:id="0"/>
    <w:p w14:paraId="2B56741F">
      <w:pPr>
        <w:keepNext w:val="0"/>
        <w:keepLines w:val="0"/>
        <w:pageBreakBefore w:val="0"/>
        <w:widowControl w:val="0"/>
        <w:kinsoku/>
        <w:wordWrap/>
        <w:overflowPunct/>
        <w:topLinePunct w:val="0"/>
        <w:bidi w:val="0"/>
        <w:adjustRightInd/>
        <w:snapToGrid/>
        <w:spacing w:line="480" w:lineRule="exact"/>
        <w:ind w:firstLine="482" w:firstLineChars="200"/>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w:t>
      </w:r>
      <w:r>
        <w:rPr>
          <w:rFonts w:hint="eastAsia" w:ascii="宋体" w:hAnsi="宋体" w:eastAsia="宋体" w:cs="宋体"/>
          <w:b/>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b/>
          <w:color w:val="000000" w:themeColor="text1"/>
          <w:sz w:val="24"/>
          <w:szCs w:val="24"/>
          <w:highlight w:val="none"/>
          <w14:textFill>
            <w14:solidFill>
              <w14:schemeClr w14:val="tx1"/>
            </w14:solidFill>
          </w14:textFill>
        </w:rPr>
        <w:t>服务</w:t>
      </w:r>
      <w:r>
        <w:rPr>
          <w:rFonts w:hint="eastAsia" w:ascii="宋体" w:hAnsi="宋体" w:eastAsia="宋体" w:cs="宋体"/>
          <w:b/>
          <w:color w:val="000000" w:themeColor="text1"/>
          <w:sz w:val="24"/>
          <w:szCs w:val="24"/>
          <w:highlight w:val="none"/>
          <w:lang w:val="en-US" w:eastAsia="zh-CN"/>
          <w14:textFill>
            <w14:solidFill>
              <w14:schemeClr w14:val="tx1"/>
            </w14:solidFill>
          </w14:textFill>
        </w:rPr>
        <w:t>要求</w:t>
      </w:r>
    </w:p>
    <w:p w14:paraId="2060A3E9">
      <w:pPr>
        <w:keepNext w:val="0"/>
        <w:keepLines w:val="0"/>
        <w:pageBreakBefore w:val="0"/>
        <w:widowControl w:val="0"/>
        <w:kinsoku/>
        <w:wordWrap/>
        <w:overflowPunct/>
        <w:topLinePunct w:val="0"/>
        <w:bidi w:val="0"/>
        <w:adjustRightInd/>
        <w:snapToGrid/>
        <w:spacing w:line="480" w:lineRule="exact"/>
        <w:ind w:firstLine="400"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1.维修所采用的零部件、配件等材料必须是未使用过的原厂生产的合格正品，且符合国家标准</w:t>
      </w:r>
      <w:r>
        <w:rPr>
          <w:rFonts w:hint="eastAsia" w:ascii="宋体" w:hAnsi="宋体" w:eastAsia="宋体" w:cs="宋体"/>
          <w:b w:val="0"/>
          <w:bCs w:val="0"/>
          <w:color w:val="000000" w:themeColor="text1"/>
          <w:sz w:val="24"/>
          <w:szCs w:val="24"/>
          <w:highlight w:val="none"/>
          <w14:textFill>
            <w14:solidFill>
              <w14:schemeClr w14:val="tx1"/>
            </w14:solidFill>
          </w14:textFill>
        </w:rPr>
        <w:t>及行业颁布标准</w:t>
      </w:r>
      <w:r>
        <w:rPr>
          <w:rFonts w:hint="eastAsia" w:ascii="宋体" w:hAnsi="宋体" w:eastAsia="宋体" w:cs="宋体"/>
          <w:color w:val="000000" w:themeColor="text1"/>
          <w:sz w:val="24"/>
          <w:szCs w:val="24"/>
          <w:highlight w:val="none"/>
          <w14:textFill>
            <w14:solidFill>
              <w14:schemeClr w14:val="tx1"/>
            </w14:solidFill>
          </w14:textFill>
        </w:rPr>
        <w:t>，不得使用假冒伪劣产品或以次充好</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b w:val="0"/>
          <w:bCs w:val="0"/>
          <w:color w:val="000000" w:themeColor="text1"/>
          <w:sz w:val="24"/>
          <w:szCs w:val="24"/>
          <w:highlight w:val="none"/>
          <w14:textFill>
            <w14:solidFill>
              <w14:schemeClr w14:val="tx1"/>
            </w14:solidFill>
          </w14:textFill>
        </w:rPr>
        <w:t>以旧充新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（提供承诺函加盖供应商公章，格式见附件4）</w:t>
      </w:r>
    </w:p>
    <w:p w14:paraId="6C683271">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2.维修服务质量应按照不低于《汽车维修行业管理暂行办法》、《机动车维修管理规定》及其他国家和省、市有关主管部门颁发的相关质量标准和技术要求执行。</w:t>
      </w:r>
    </w:p>
    <w:p w14:paraId="7F911C8E">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3.供应商应保证使用的配件材料在正确安装、正常使用和保养条件下，在其使用寿命期内具有满意的性能。</w:t>
      </w:r>
    </w:p>
    <w:p w14:paraId="5F92D5F3">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4.供应商必须严格执行汽车维修技术控验制度，车辆返修率要控制在3%以内。</w:t>
      </w:r>
    </w:p>
    <w:p w14:paraId="28C1AE6D">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.免费提供上门接、送维修服务，提供电话预约、急修快修、救援、24小时服务、免费拖车等服务。中山市行政范围内响应时间不超过1小时，拖车服务不超过24小时。</w:t>
      </w:r>
    </w:p>
    <w:p w14:paraId="2AB971F0">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提供维修、保养或代年审等车辆服务，均需办理完善的登记交接手续，特别是需拖车回厂维修时，更需凭维修单位出具的交接车辆维修凭据，由交接双方签字确认后，交车方在取到有效的接车凭据后方可交车，待修车辆一经移交给维修方，则交接后该车辆所发生起的一切质量或意外事故及由此引起的一切损失或赔偿责任均由维修方负责。</w:t>
      </w:r>
    </w:p>
    <w:p w14:paraId="0B42C20A">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.成交供应商在维修过程中发现其他(维修计划以外)的故障，必须及时将情况反映给采购人经办人，在取得书面同意后方可继续修理。</w:t>
      </w:r>
    </w:p>
    <w:p w14:paraId="7C207BD0">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提供优先服务，确保在短时限内完成维修服务，保障单位用车需要。维修时限要求做到一般故障即时或一天内完成，中修五天内完成，大修十天内完成。特殊情况延长维修时间须征得采购人书面同意，否则视为违约，并赔偿采购人因此造成的一切损失。</w:t>
      </w:r>
    </w:p>
    <w:p w14:paraId="3B530E97">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.车辆维保、维修的服务承包要求：包质量、包时限。</w:t>
      </w:r>
    </w:p>
    <w:p w14:paraId="135A99E2">
      <w:pPr>
        <w:keepNext w:val="0"/>
        <w:keepLines w:val="0"/>
        <w:pageBreakBefore w:val="0"/>
        <w:widowControl w:val="0"/>
        <w:kinsoku/>
        <w:wordWrap/>
        <w:overflowPunct/>
        <w:topLinePunct w:val="0"/>
        <w:bidi w:val="0"/>
        <w:adjustRightInd/>
        <w:snapToGrid/>
        <w:spacing w:line="480" w:lineRule="exact"/>
        <w:ind w:firstLine="40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.车辆维修的质量保证期：在正常使用情况下，维修车辆若涉及更换新的零部件、材料,如当次维修结束日起15天内出现维修质量或零部件问题的，须由成交供应商负责免费修复和更换零配件。</w:t>
      </w:r>
    </w:p>
    <w:p w14:paraId="48046475">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.对</w:t>
      </w:r>
      <w:bookmarkStart w:id="1" w:name="_Hlk202046241"/>
      <w:r>
        <w:rPr>
          <w:rFonts w:hint="eastAsia" w:ascii="宋体" w:hAnsi="宋体" w:eastAsia="宋体" w:cs="宋体"/>
          <w:color w:val="000000" w:themeColor="text1"/>
          <w:sz w:val="24"/>
          <w:szCs w:val="24"/>
          <w:highlight w:val="none"/>
          <w14:textFill>
            <w14:solidFill>
              <w14:schemeClr w14:val="tx1"/>
            </w14:solidFill>
          </w14:textFill>
        </w:rPr>
        <w:t>采购人</w:t>
      </w:r>
      <w:bookmarkEnd w:id="1"/>
      <w:r>
        <w:rPr>
          <w:rFonts w:hint="eastAsia" w:ascii="宋体" w:hAnsi="宋体" w:eastAsia="宋体" w:cs="宋体"/>
          <w:color w:val="000000" w:themeColor="text1"/>
          <w:sz w:val="24"/>
          <w:szCs w:val="24"/>
          <w:highlight w:val="none"/>
          <w14:textFill>
            <w14:solidFill>
              <w14:schemeClr w14:val="tx1"/>
            </w14:solidFill>
          </w14:textFill>
        </w:rPr>
        <w:t>车辆供应商应以修复为主，能不更换的零部件尽量不予更换，确实不能修复或没有修复价值的零部件，在征得采购人书面同意后方可更换。修车更换下来的旧件应退还采购人，未经同意不得擅自丢弃、变卖。供应商不得与任何人串通，虚假修车或虚报维修项目，损害采购人的利益。</w:t>
      </w:r>
    </w:p>
    <w:p w14:paraId="35006960">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.成交供应商须保证投入本项目服务的车辆维修从业人员具有汽车维修上岗证（或同类性质的证件）。</w:t>
      </w:r>
    </w:p>
    <w:p w14:paraId="23A5B92B">
      <w:pPr>
        <w:keepNext w:val="0"/>
        <w:keepLines w:val="0"/>
        <w:pageBreakBefore w:val="0"/>
        <w:widowControl w:val="0"/>
        <w:kinsoku/>
        <w:wordWrap/>
        <w:overflowPunct/>
        <w:topLinePunct w:val="0"/>
        <w:bidi w:val="0"/>
        <w:adjustRightInd/>
        <w:snapToGrid/>
        <w:spacing w:line="480" w:lineRule="exact"/>
        <w:ind w:firstLine="482" w:firstLineChars="200"/>
        <w:jc w:val="both"/>
        <w:textAlignment w:val="auto"/>
        <w:rPr>
          <w:rFonts w:hint="eastAsia"/>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、验收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要求</w:t>
      </w:r>
    </w:p>
    <w:p w14:paraId="152ED71C">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1.维修车辆结束后，须开具“车辆维修结算清单”（以下简称“结算清单”），填写车辆维修的具体部位和消耗的材料、部件、计价情况、工时费、</w:t>
      </w:r>
      <w:r>
        <w:rPr>
          <w:rFonts w:hint="eastAsia" w:ascii="宋体" w:hAnsi="宋体" w:eastAsia="宋体" w:cs="宋体"/>
          <w:color w:val="000000" w:themeColor="text1"/>
          <w:sz w:val="24"/>
          <w:szCs w:val="24"/>
          <w:highlight w:val="none"/>
          <w:lang w:eastAsia="zh-CN"/>
          <w14:textFill>
            <w14:solidFill>
              <w14:schemeClr w14:val="tx1"/>
            </w14:solidFill>
          </w14:textFill>
        </w:rPr>
        <w:t>外加工费、</w:t>
      </w:r>
      <w:r>
        <w:rPr>
          <w:rFonts w:hint="eastAsia" w:ascii="宋体" w:hAnsi="宋体" w:eastAsia="宋体" w:cs="宋体"/>
          <w:color w:val="000000" w:themeColor="text1"/>
          <w:sz w:val="24"/>
          <w:szCs w:val="24"/>
          <w:highlight w:val="none"/>
          <w14:textFill>
            <w14:solidFill>
              <w14:schemeClr w14:val="tx1"/>
            </w14:solidFill>
          </w14:textFill>
        </w:rPr>
        <w:t>优惠事宜及其他维修相关信息后，交采购人签字确认。</w:t>
      </w:r>
    </w:p>
    <w:p w14:paraId="48D25654">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2.采购人检查竣工车辆，如维修结果符合送修要求、维修费计算合理，采购人在“结算清单”上签字确认。</w:t>
      </w:r>
    </w:p>
    <w:p w14:paraId="273D9D11">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3.交接竣工车辆时，应将结算清单和其他维修资料一同交予采购人。</w:t>
      </w:r>
    </w:p>
    <w:p w14:paraId="1147E5CE">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在质量保证期内，经修车辆仍反复出现同一问题的，返修不得再计价收费。车辆竣工出厂执行质量保证期制度，即竣工车辆出厂后正常保养、合理使用的情况下，整车修理或总成修理质量保证期为车辆行驶20000公里或者100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二级维护质量保证期为车辆行驶5000公里或者30日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一级维护小修及专项修理质量保证期为车辆行驶2000公里或者10日。质量保证期中行驶里程和日期指标，以先达到者为准。</w:t>
      </w:r>
    </w:p>
    <w:p w14:paraId="074F0A00">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5.对质量保证期内因维修质量导致的返修车辆，成交供应商必须优先修理。返修完成后，质量保证期从返修出厂并移交采购人之日起重新计算。</w:t>
      </w:r>
    </w:p>
    <w:p w14:paraId="631EF9E5">
      <w:pPr>
        <w:keepNext w:val="0"/>
        <w:keepLines w:val="0"/>
        <w:pageBreakBefore w:val="0"/>
        <w:widowControl w:val="0"/>
        <w:kinsoku/>
        <w:wordWrap/>
        <w:overflowPunct/>
        <w:topLinePunct w:val="0"/>
        <w:bidi w:val="0"/>
        <w:adjustRightInd/>
        <w:snapToGrid/>
        <w:spacing w:line="480" w:lineRule="exact"/>
        <w:ind w:firstLine="482" w:firstLineChars="20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、付款方式</w:t>
      </w:r>
    </w:p>
    <w:p w14:paraId="5CA2DD5E">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1.车辆维修保养费用以银行转帐方式支付，按月结算。成交供应商每月5日前向采购人提交上月的“结算清单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提交的结算资料需根据医院实际修改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”和支付金额等额的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有效发票</w:t>
      </w:r>
      <w:r>
        <w:rPr>
          <w:rFonts w:hint="eastAsia" w:ascii="宋体" w:hAnsi="宋体" w:eastAsia="宋体" w:cs="宋体"/>
          <w:color w:val="000000" w:themeColor="text1"/>
          <w:sz w:val="24"/>
          <w:szCs w:val="24"/>
          <w:highlight w:val="none"/>
          <w14:textFill>
            <w14:solidFill>
              <w14:schemeClr w14:val="tx1"/>
            </w14:solidFill>
          </w14:textFill>
        </w:rPr>
        <w:t>，经采购人审核无误后60日内支付款项。收款人、成交供应商名称应与发票上的收款单位名称相同。因采购人使用的是财政资金，按政府审批流程支付，若审批延迟则相应货款到账延迟，且不视为采购人违约。</w:t>
      </w:r>
    </w:p>
    <w:p w14:paraId="46936949">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2.月度车辆维修保养费计价公式：维修保养费总金额＝[工时定额×工时不含税单价＋材料进货不含税价×（1＋材料管理费率）＋外加工费不含税价×（1＋外加工管理费率）]×（1＋成交供应商</w:t>
      </w:r>
      <w:r>
        <w:rPr>
          <w:rFonts w:hint="eastAsia" w:cs="宋体"/>
          <w:color w:val="000000" w:themeColor="text1"/>
          <w:sz w:val="24"/>
          <w:szCs w:val="24"/>
          <w:highlight w:val="none"/>
          <w:lang w:eastAsia="zh-CN"/>
          <w14:textFill>
            <w14:solidFill>
              <w14:schemeClr w14:val="tx1"/>
            </w14:solidFill>
          </w14:textFill>
        </w:rPr>
        <w:t>有效</w:t>
      </w:r>
      <w:r>
        <w:rPr>
          <w:rFonts w:hint="eastAsia" w:ascii="宋体" w:hAnsi="宋体" w:eastAsia="宋体" w:cs="宋体"/>
          <w:color w:val="000000" w:themeColor="text1"/>
          <w:sz w:val="24"/>
          <w:szCs w:val="24"/>
          <w:highlight w:val="none"/>
          <w14:textFill>
            <w14:solidFill>
              <w14:schemeClr w14:val="tx1"/>
            </w14:solidFill>
          </w14:textFill>
        </w:rPr>
        <w:t>发票的开票税率）。</w:t>
      </w:r>
    </w:p>
    <w:p w14:paraId="2B591D0D">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工时定额指在一定条件下车辆维修保养单位完成某项维修项目所必须消耗的劳动时间。工时定额参考执行中山市机动车维修与驾驶员培训行业协会制定的中山市汽车维修工时定额（如合同有效期内行业主管部门或行业协会发布有新的工时定额标准，则以最新的工时定额标准为准）。</w:t>
      </w:r>
    </w:p>
    <w:p w14:paraId="5EF988C6">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4.不涉及保险理赔的维护、维修项目费用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针对事故车辆，经交警部门认定的保险公司不能全赔支付的事故车辆，维修费用中除去保险公司应负责的理赔金额之外，维修差额部分按本项目规定价格计算办法进行最终结算</w:t>
      </w:r>
      <w:r>
        <w:rPr>
          <w:rFonts w:hint="eastAsia" w:cs="宋体"/>
          <w:color w:val="000000" w:themeColor="text1"/>
          <w:sz w:val="24"/>
          <w:szCs w:val="24"/>
          <w:highlight w:val="none"/>
          <w:lang w:eastAsia="zh-CN"/>
          <w14:textFill>
            <w14:solidFill>
              <w14:schemeClr w14:val="tx1"/>
            </w14:solidFill>
          </w14:textFill>
        </w:rPr>
        <w:t>。</w:t>
      </w:r>
    </w:p>
    <w:p w14:paraId="11517638">
      <w:pPr>
        <w:keepNext w:val="0"/>
        <w:keepLines w:val="0"/>
        <w:pageBreakBefore w:val="0"/>
        <w:widowControl w:val="0"/>
        <w:kinsoku/>
        <w:wordWrap/>
        <w:overflowPunct/>
        <w:topLinePunct w:val="0"/>
        <w:bidi w:val="0"/>
        <w:adjustRightInd/>
        <w:snapToGrid/>
        <w:spacing w:line="480" w:lineRule="exact"/>
        <w:ind w:firstLine="40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汽修配件价格不得高于同期市场平均价</w:t>
      </w:r>
      <w:r>
        <w:rPr>
          <w:rFonts w:hint="eastAsia" w:cs="宋体"/>
          <w:color w:val="000000" w:themeColor="text1"/>
          <w:sz w:val="24"/>
          <w:szCs w:val="24"/>
          <w:highlight w:val="none"/>
          <w:lang w:eastAsia="zh-CN"/>
          <w14:textFill>
            <w14:solidFill>
              <w14:schemeClr w14:val="tx1"/>
            </w14:solidFill>
          </w14:textFill>
        </w:rPr>
        <w:t>及供应商的销售价。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（提供承诺函加盖供应商公章，格式见附件4）</w:t>
      </w:r>
    </w:p>
    <w:p w14:paraId="5236AA9C">
      <w:pPr>
        <w:keepNext w:val="0"/>
        <w:keepLines w:val="0"/>
        <w:pageBreakBefore w:val="0"/>
        <w:widowControl w:val="0"/>
        <w:kinsoku/>
        <w:wordWrap/>
        <w:overflowPunct/>
        <w:topLinePunct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代办车辆年审费用据实列支。</w:t>
      </w:r>
    </w:p>
    <w:p w14:paraId="4A8C4412">
      <w:pPr>
        <w:pStyle w:val="2"/>
        <w:spacing w:after="0" w:line="48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0"/>
          <w:sz w:val="24"/>
          <w:szCs w:val="24"/>
          <w:highlight w:val="none"/>
          <w:lang w:val="en-US" w:eastAsia="zh-CN"/>
          <w14:textFill>
            <w14:solidFill>
              <w14:schemeClr w14:val="tx1"/>
            </w14:solidFill>
          </w14:textFill>
        </w:rPr>
        <w:t>六、违约责任</w:t>
      </w:r>
    </w:p>
    <w:p w14:paraId="6B3555CF">
      <w:pPr>
        <w:widowControl/>
        <w:numPr>
          <w:ilvl w:val="0"/>
          <w:numId w:val="1"/>
        </w:numPr>
        <w:spacing w:line="480" w:lineRule="exact"/>
        <w:ind w:left="0"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如</w:t>
      </w:r>
      <w:r>
        <w:rPr>
          <w:rFonts w:hint="eastAsia" w:cs="宋体"/>
          <w:color w:val="000000" w:themeColor="text1"/>
          <w:kern w:val="0"/>
          <w:sz w:val="24"/>
          <w:szCs w:val="24"/>
          <w:highlight w:val="none"/>
          <w:lang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未按</w:t>
      </w:r>
      <w:r>
        <w:rPr>
          <w:rFonts w:hint="eastAsia" w:cs="宋体"/>
          <w:color w:val="000000" w:themeColor="text1"/>
          <w:kern w:val="0"/>
          <w:sz w:val="24"/>
          <w:szCs w:val="24"/>
          <w:highlight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14:textFill>
            <w14:solidFill>
              <w14:schemeClr w14:val="tx1"/>
            </w14:solidFill>
          </w14:textFill>
        </w:rPr>
        <w:t>确认的服务计划按时完成合同服务内容，每逾期一日，</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eastAsia="zh-CN"/>
          <w14:textFill>
            <w14:solidFill>
              <w14:schemeClr w14:val="tx1"/>
            </w14:solidFill>
          </w14:textFill>
        </w:rPr>
        <w:t>应向</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eastAsia="zh-CN"/>
          <w14:textFill>
            <w14:solidFill>
              <w14:schemeClr w14:val="tx1"/>
            </w14:solidFill>
          </w14:textFill>
        </w:rPr>
        <w:t>支付合同总金额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‰的违约金</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若逾期</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日以上（含</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日），则</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eastAsia="zh-CN"/>
          <w14:textFill>
            <w14:solidFill>
              <w14:schemeClr w14:val="tx1"/>
            </w14:solidFill>
          </w14:textFill>
        </w:rPr>
        <w:t>有权终止合同，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eastAsia="zh-CN"/>
          <w14:textFill>
            <w14:solidFill>
              <w14:schemeClr w14:val="tx1"/>
            </w14:solidFill>
          </w14:textFill>
        </w:rPr>
        <w:t>应按合同总额10%支付违约金，合同逾期给</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eastAsia="zh-CN"/>
          <w14:textFill>
            <w14:solidFill>
              <w14:schemeClr w14:val="tx1"/>
            </w14:solidFill>
          </w14:textFill>
        </w:rPr>
        <w:t>造成的直接经济损失由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eastAsia="zh-CN"/>
          <w14:textFill>
            <w14:solidFill>
              <w14:schemeClr w14:val="tx1"/>
            </w14:solidFill>
          </w14:textFill>
        </w:rPr>
        <w:t>承担赔偿责任。</w:t>
      </w:r>
    </w:p>
    <w:p w14:paraId="7EC42426">
      <w:pPr>
        <w:widowControl/>
        <w:spacing w:line="480" w:lineRule="exact"/>
        <w:ind w:firstLine="480" w:firstLineChars="200"/>
        <w:jc w:val="left"/>
        <w:rPr>
          <w:rFonts w:hint="eastAsia" w:cs="宋体"/>
          <w:color w:val="000000" w:themeColor="text1"/>
          <w:kern w:val="0"/>
          <w:sz w:val="24"/>
          <w:szCs w:val="24"/>
          <w:highlight w:val="none"/>
          <w:lang w:eastAsia="zh-CN"/>
          <w14:textFill>
            <w14:solidFill>
              <w14:schemeClr w14:val="tx1"/>
            </w14:solidFill>
          </w14:textFill>
        </w:rPr>
      </w:pPr>
      <w:r>
        <w:rPr>
          <w:rFonts w:hint="eastAsia"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服务期间，若</w:t>
      </w:r>
      <w:r>
        <w:rPr>
          <w:rFonts w:hint="eastAsia" w:cs="宋体"/>
          <w:color w:val="000000" w:themeColor="text1"/>
          <w:kern w:val="0"/>
          <w:sz w:val="24"/>
          <w:szCs w:val="24"/>
          <w:highlight w:val="none"/>
          <w:lang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履行合同不到位，经</w:t>
      </w:r>
      <w:r>
        <w:rPr>
          <w:rFonts w:hint="eastAsia" w:cs="宋体"/>
          <w:color w:val="000000" w:themeColor="text1"/>
          <w:kern w:val="0"/>
          <w:sz w:val="24"/>
          <w:szCs w:val="24"/>
          <w:highlight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14:textFill>
            <w14:solidFill>
              <w14:schemeClr w14:val="tx1"/>
            </w14:solidFill>
          </w14:textFill>
        </w:rPr>
        <w:t>书面通知</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cs="宋体"/>
          <w:color w:val="000000" w:themeColor="text1"/>
          <w:kern w:val="0"/>
          <w:sz w:val="24"/>
          <w:szCs w:val="24"/>
          <w:highlight w:val="none"/>
          <w:u w:val="single"/>
          <w:lang w:val="en-US" w:eastAsia="zh-CN"/>
          <w14:textFill>
            <w14:solidFill>
              <w14:schemeClr w14:val="tx1"/>
            </w14:solidFill>
          </w14:textFill>
        </w:rPr>
        <w:t>5</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天后</w:t>
      </w:r>
      <w:r>
        <w:rPr>
          <w:rFonts w:hint="eastAsia" w:cs="宋体"/>
          <w:color w:val="000000" w:themeColor="text1"/>
          <w:kern w:val="0"/>
          <w:sz w:val="24"/>
          <w:szCs w:val="24"/>
          <w:highlight w:val="none"/>
          <w:lang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仍未整改到位的，</w:t>
      </w:r>
      <w:r>
        <w:rPr>
          <w:rFonts w:hint="eastAsia" w:cs="宋体"/>
          <w:color w:val="000000" w:themeColor="text1"/>
          <w:kern w:val="0"/>
          <w:sz w:val="24"/>
          <w:szCs w:val="24"/>
          <w:highlight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14:textFill>
            <w14:solidFill>
              <w14:schemeClr w14:val="tx1"/>
            </w14:solidFill>
          </w14:textFill>
        </w:rPr>
        <w:t>有权终止合同，并要求</w:t>
      </w:r>
      <w:r>
        <w:rPr>
          <w:rFonts w:hint="eastAsia" w:cs="宋体"/>
          <w:color w:val="000000" w:themeColor="text1"/>
          <w:kern w:val="0"/>
          <w:sz w:val="24"/>
          <w:szCs w:val="24"/>
          <w:highlight w:val="none"/>
          <w:lang w:eastAsia="zh-CN"/>
          <w14:textFill>
            <w14:solidFill>
              <w14:schemeClr w14:val="tx1"/>
            </w14:solidFill>
          </w14:textFill>
        </w:rPr>
        <w:t>成交供应商</w:t>
      </w:r>
      <w:r>
        <w:rPr>
          <w:rFonts w:hint="eastAsia" w:ascii="宋体" w:hAnsi="宋体" w:cs="宋体"/>
          <w:color w:val="000000" w:themeColor="text1"/>
          <w:kern w:val="0"/>
          <w:sz w:val="24"/>
          <w:szCs w:val="24"/>
          <w:highlight w:val="none"/>
          <w14:textFill>
            <w14:solidFill>
              <w14:schemeClr w14:val="tx1"/>
            </w14:solidFill>
          </w14:textFill>
        </w:rPr>
        <w:t>支付合同金额</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cs="宋体"/>
          <w:color w:val="000000" w:themeColor="text1"/>
          <w:kern w:val="0"/>
          <w:sz w:val="24"/>
          <w:szCs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%的违约金</w:t>
      </w:r>
      <w:r>
        <w:rPr>
          <w:rFonts w:hint="eastAsia" w:cs="宋体"/>
          <w:color w:val="000000" w:themeColor="text1"/>
          <w:kern w:val="0"/>
          <w:sz w:val="24"/>
          <w:szCs w:val="24"/>
          <w:highlight w:val="none"/>
          <w:lang w:eastAsia="zh-CN"/>
          <w14:textFill>
            <w14:solidFill>
              <w14:schemeClr w14:val="tx1"/>
            </w14:solidFill>
          </w14:textFill>
        </w:rPr>
        <w:t>；采购人如抽查发现“结算清单”的汽修配件价格高于同期市场平均价及供应商的销售价，视为违约，并有权不予结算当笔汽修配件款项。</w:t>
      </w:r>
    </w:p>
    <w:p w14:paraId="6F61C050">
      <w:pPr>
        <w:widowControl w:val="0"/>
        <w:numPr>
          <w:ilvl w:val="-1"/>
          <w:numId w:val="0"/>
        </w:numPr>
        <w:spacing w:line="480" w:lineRule="exact"/>
        <w:ind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成交供应商不得转包和在未经采购人同意下以任何方式分包本项目，否则视为成交供应商违约，采购人有权单方面解除本项目签订的服务合同，且成交供应商应承担一切责任，并赔偿采购人因此遭受的一切损失。</w:t>
      </w:r>
    </w:p>
    <w:p w14:paraId="7E12F974">
      <w:pPr>
        <w:widowControl/>
        <w:numPr>
          <w:ilvl w:val="-1"/>
          <w:numId w:val="0"/>
        </w:numPr>
        <w:spacing w:line="480" w:lineRule="exact"/>
        <w:ind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其它违约责任按《中华人民共和国民法典(合同编)》处理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330B20F">
      <w:pPr>
        <w:widowControl/>
        <w:spacing w:line="480" w:lineRule="exact"/>
        <w:ind w:firstLine="0" w:firstLineChars="0"/>
        <w:jc w:val="left"/>
        <w:rPr>
          <w:rFonts w:hint="eastAsia" w:ascii="宋体" w:hAnsi="宋体" w:cs="宋体"/>
          <w:color w:val="000000" w:themeColor="text1"/>
          <w:kern w:val="0"/>
          <w:sz w:val="24"/>
          <w:szCs w:val="24"/>
          <w:highlight w:val="none"/>
          <w14:textFill>
            <w14:solidFill>
              <w14:schemeClr w14:val="tx1"/>
            </w14:solidFill>
          </w14:textFill>
        </w:rPr>
      </w:pPr>
    </w:p>
    <w:p w14:paraId="32919F3B">
      <w:pPr>
        <w:pStyle w:val="19"/>
        <w:rPr>
          <w:rFonts w:hint="default"/>
          <w:color w:val="000000" w:themeColor="text1"/>
          <w:lang w:val="en-US" w:eastAsia="zh-CN"/>
          <w14:textFill>
            <w14:solidFill>
              <w14:schemeClr w14:val="tx1"/>
            </w14:solidFill>
          </w14:textFill>
        </w:rPr>
      </w:pPr>
    </w:p>
    <w:sectPr>
      <w:footerReference r:id="rId3" w:type="default"/>
      <w:pgSz w:w="11906" w:h="16838"/>
      <w:pgMar w:top="1304" w:right="1440" w:bottom="1304"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1C35">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1D86E">
                          <w:pPr>
                            <w:pStyle w:val="1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11D86E">
                    <w:pPr>
                      <w:pStyle w:val="1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DA"/>
    <w:rsid w:val="00037A30"/>
    <w:rsid w:val="00267AA9"/>
    <w:rsid w:val="00287C68"/>
    <w:rsid w:val="002F3C5A"/>
    <w:rsid w:val="002F6F4D"/>
    <w:rsid w:val="0033705D"/>
    <w:rsid w:val="005D7800"/>
    <w:rsid w:val="00992143"/>
    <w:rsid w:val="009C4744"/>
    <w:rsid w:val="009E27E2"/>
    <w:rsid w:val="00B16C15"/>
    <w:rsid w:val="00B20C8D"/>
    <w:rsid w:val="00C957DA"/>
    <w:rsid w:val="00D12A94"/>
    <w:rsid w:val="00D50FE4"/>
    <w:rsid w:val="00E603BB"/>
    <w:rsid w:val="00EE34E4"/>
    <w:rsid w:val="00F02173"/>
    <w:rsid w:val="00F40E6C"/>
    <w:rsid w:val="00F61BB8"/>
    <w:rsid w:val="01A93FA3"/>
    <w:rsid w:val="020F5D2B"/>
    <w:rsid w:val="09C83FC9"/>
    <w:rsid w:val="0A0E5698"/>
    <w:rsid w:val="0D51729D"/>
    <w:rsid w:val="10482BBC"/>
    <w:rsid w:val="15420CD4"/>
    <w:rsid w:val="1661667E"/>
    <w:rsid w:val="183F0D66"/>
    <w:rsid w:val="19BF7B32"/>
    <w:rsid w:val="19EF40C6"/>
    <w:rsid w:val="1A6920CA"/>
    <w:rsid w:val="1CC51864"/>
    <w:rsid w:val="22765384"/>
    <w:rsid w:val="22C90A12"/>
    <w:rsid w:val="23DE7685"/>
    <w:rsid w:val="2A2E3A65"/>
    <w:rsid w:val="2A5B183F"/>
    <w:rsid w:val="2B184AA7"/>
    <w:rsid w:val="2C7C21FD"/>
    <w:rsid w:val="2CDB1A87"/>
    <w:rsid w:val="2D044C1D"/>
    <w:rsid w:val="2E8C5F2F"/>
    <w:rsid w:val="36842964"/>
    <w:rsid w:val="3DC01751"/>
    <w:rsid w:val="421300E6"/>
    <w:rsid w:val="4CBF59F6"/>
    <w:rsid w:val="50C23D07"/>
    <w:rsid w:val="526640FF"/>
    <w:rsid w:val="56462CE4"/>
    <w:rsid w:val="56554CD5"/>
    <w:rsid w:val="5CD00CBD"/>
    <w:rsid w:val="615F4C5A"/>
    <w:rsid w:val="655D3BA6"/>
    <w:rsid w:val="66E9290A"/>
    <w:rsid w:val="6C1A00FB"/>
    <w:rsid w:val="6D8B6DD7"/>
    <w:rsid w:val="6ED21161"/>
    <w:rsid w:val="71AE254A"/>
    <w:rsid w:val="74744A68"/>
    <w:rsid w:val="750A2CD7"/>
    <w:rsid w:val="76F8742D"/>
    <w:rsid w:val="7D2F502D"/>
    <w:rsid w:val="7ED04252"/>
    <w:rsid w:val="7EE8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0"/>
      <w:sz w:val="20"/>
      <w:szCs w:val="20"/>
      <w:lang w:val="en-US" w:eastAsia="zh-CN" w:bidi="ar-SA"/>
      <w14:ligatures w14:val="none"/>
    </w:rPr>
  </w:style>
  <w:style w:type="paragraph" w:styleId="3">
    <w:name w:val="heading 1"/>
    <w:basedOn w:val="1"/>
    <w:next w:val="1"/>
    <w:link w:val="2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3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3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32"/>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3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7"/>
    <w:semiHidden/>
    <w:unhideWhenUsed/>
    <w:qFormat/>
    <w:uiPriority w:val="99"/>
    <w:pPr>
      <w:spacing w:after="120"/>
    </w:pPr>
    <w:rPr>
      <w:rFonts w:asciiTheme="minorHAnsi" w:hAnsiTheme="minorHAnsi" w:eastAsiaTheme="minorEastAsia" w:cstheme="minorBidi"/>
      <w:kern w:val="2"/>
      <w:sz w:val="21"/>
      <w:szCs w:val="22"/>
    </w:rPr>
  </w:style>
  <w:style w:type="paragraph" w:styleId="12">
    <w:name w:val="caption"/>
    <w:basedOn w:val="1"/>
    <w:next w:val="1"/>
    <w:semiHidden/>
    <w:unhideWhenUsed/>
    <w:qFormat/>
    <w:uiPriority w:val="35"/>
    <w:pPr>
      <w:widowControl/>
      <w:spacing w:after="200" w:line="252" w:lineRule="auto"/>
      <w:jc w:val="left"/>
    </w:pPr>
    <w:rPr>
      <w:rFonts w:asciiTheme="majorHAnsi" w:hAnsiTheme="majorHAnsi" w:eastAsiaTheme="majorEastAsia" w:cstheme="majorBidi"/>
      <w:caps/>
      <w:spacing w:val="10"/>
      <w:sz w:val="18"/>
      <w:szCs w:val="18"/>
      <w:lang w:eastAsia="en-US" w:bidi="en-US"/>
    </w:rPr>
  </w:style>
  <w:style w:type="paragraph" w:styleId="13">
    <w:name w:val="Body Text Indent"/>
    <w:basedOn w:val="1"/>
    <w:link w:val="49"/>
    <w:unhideWhenUsed/>
    <w:qFormat/>
    <w:uiPriority w:val="99"/>
    <w:pPr>
      <w:spacing w:after="120"/>
      <w:ind w:left="420" w:leftChars="200"/>
    </w:pPr>
  </w:style>
  <w:style w:type="paragraph" w:styleId="14">
    <w:name w:val="toc 5"/>
    <w:basedOn w:val="1"/>
    <w:next w:val="1"/>
    <w:qFormat/>
    <w:uiPriority w:val="0"/>
    <w:pPr>
      <w:ind w:left="840"/>
    </w:pPr>
    <w:rPr>
      <w:rFonts w:ascii="Calibri" w:hAnsi="Calibri"/>
      <w:sz w:val="18"/>
      <w:szCs w:val="18"/>
    </w:rPr>
  </w:style>
  <w:style w:type="paragraph" w:styleId="15">
    <w:name w:val="footer"/>
    <w:basedOn w:val="1"/>
    <w:link w:val="46"/>
    <w:unhideWhenUsed/>
    <w:qFormat/>
    <w:uiPriority w:val="99"/>
    <w:pPr>
      <w:tabs>
        <w:tab w:val="center" w:pos="4153"/>
        <w:tab w:val="right" w:pos="8306"/>
      </w:tabs>
      <w:snapToGrid w:val="0"/>
      <w:jc w:val="left"/>
    </w:pPr>
    <w:rPr>
      <w:sz w:val="18"/>
      <w:szCs w:val="18"/>
    </w:rPr>
  </w:style>
  <w:style w:type="paragraph" w:styleId="16">
    <w:name w:val="header"/>
    <w:basedOn w:val="1"/>
    <w:link w:val="45"/>
    <w:unhideWhenUsed/>
    <w:qFormat/>
    <w:uiPriority w:val="99"/>
    <w:pPr>
      <w:tabs>
        <w:tab w:val="center" w:pos="4153"/>
        <w:tab w:val="right" w:pos="8306"/>
      </w:tabs>
      <w:snapToGrid w:val="0"/>
      <w:jc w:val="center"/>
    </w:pPr>
    <w:rPr>
      <w:sz w:val="18"/>
      <w:szCs w:val="18"/>
    </w:rPr>
  </w:style>
  <w:style w:type="paragraph" w:styleId="17">
    <w:name w:val="Subtitle"/>
    <w:basedOn w:val="1"/>
    <w:next w:val="1"/>
    <w:link w:val="3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6"/>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9">
    <w:name w:val="Body Text First Indent"/>
    <w:basedOn w:val="2"/>
    <w:next w:val="1"/>
    <w:link w:val="48"/>
    <w:qFormat/>
    <w:uiPriority w:val="0"/>
    <w:pPr>
      <w:tabs>
        <w:tab w:val="decimal" w:pos="315"/>
        <w:tab w:val="left" w:pos="630"/>
      </w:tabs>
      <w:ind w:firstLine="420" w:firstLineChars="100"/>
    </w:pPr>
    <w:rPr>
      <w:szCs w:val="24"/>
    </w:rPr>
  </w:style>
  <w:style w:type="paragraph" w:styleId="20">
    <w:name w:val="Body Text First Indent 2"/>
    <w:basedOn w:val="13"/>
    <w:next w:val="1"/>
    <w:link w:val="50"/>
    <w:qFormat/>
    <w:uiPriority w:val="0"/>
    <w:pPr>
      <w:ind w:firstLine="420" w:firstLineChars="200"/>
    </w:pPr>
  </w:style>
  <w:style w:type="character" w:styleId="23">
    <w:name w:val="Strong"/>
    <w:qFormat/>
    <w:uiPriority w:val="22"/>
    <w:rPr>
      <w:b/>
      <w:bCs/>
      <w:color w:val="C04F15" w:themeColor="accent2" w:themeShade="BF"/>
      <w:spacing w:val="5"/>
    </w:rPr>
  </w:style>
  <w:style w:type="character" w:styleId="24">
    <w:name w:val="FollowedHyperlink"/>
    <w:basedOn w:val="22"/>
    <w:semiHidden/>
    <w:unhideWhenUsed/>
    <w:qFormat/>
    <w:uiPriority w:val="99"/>
    <w:rPr>
      <w:color w:val="800080"/>
      <w:u w:val="single"/>
    </w:rPr>
  </w:style>
  <w:style w:type="character" w:styleId="25">
    <w:name w:val="Emphasis"/>
    <w:qFormat/>
    <w:uiPriority w:val="20"/>
    <w:rPr>
      <w:caps/>
      <w:spacing w:val="5"/>
      <w:sz w:val="20"/>
      <w:szCs w:val="20"/>
    </w:rPr>
  </w:style>
  <w:style w:type="character" w:styleId="26">
    <w:name w:val="Hyperlink"/>
    <w:basedOn w:val="22"/>
    <w:semiHidden/>
    <w:unhideWhenUsed/>
    <w:qFormat/>
    <w:uiPriority w:val="99"/>
    <w:rPr>
      <w:color w:val="0000FF"/>
      <w:u w:val="single"/>
    </w:rPr>
  </w:style>
  <w:style w:type="character" w:customStyle="1" w:styleId="27">
    <w:name w:val="标题 1 字符"/>
    <w:basedOn w:val="22"/>
    <w:link w:val="3"/>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2"/>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2"/>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2"/>
    <w:link w:val="6"/>
    <w:semiHidden/>
    <w:qFormat/>
    <w:uiPriority w:val="9"/>
    <w:rPr>
      <w:rFonts w:cstheme="majorBidi"/>
      <w:color w:val="104862" w:themeColor="accent1" w:themeShade="BF"/>
      <w:sz w:val="28"/>
      <w:szCs w:val="28"/>
    </w:rPr>
  </w:style>
  <w:style w:type="character" w:customStyle="1" w:styleId="31">
    <w:name w:val="标题 5 字符"/>
    <w:basedOn w:val="22"/>
    <w:link w:val="7"/>
    <w:semiHidden/>
    <w:qFormat/>
    <w:uiPriority w:val="9"/>
    <w:rPr>
      <w:rFonts w:cstheme="majorBidi"/>
      <w:color w:val="104862" w:themeColor="accent1" w:themeShade="BF"/>
      <w:sz w:val="24"/>
      <w:szCs w:val="24"/>
    </w:rPr>
  </w:style>
  <w:style w:type="character" w:customStyle="1" w:styleId="32">
    <w:name w:val="标题 6 字符"/>
    <w:basedOn w:val="22"/>
    <w:link w:val="8"/>
    <w:semiHidden/>
    <w:qFormat/>
    <w:uiPriority w:val="9"/>
    <w:rPr>
      <w:rFonts w:cstheme="majorBidi"/>
      <w:b/>
      <w:bCs/>
      <w:color w:val="104862" w:themeColor="accent1" w:themeShade="BF"/>
    </w:rPr>
  </w:style>
  <w:style w:type="character" w:customStyle="1" w:styleId="33">
    <w:name w:val="标题 7 字符"/>
    <w:basedOn w:val="22"/>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2"/>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2"/>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2"/>
    <w:link w:val="18"/>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2"/>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2"/>
    <w:link w:val="38"/>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qFormat/>
    <w:uiPriority w:val="0"/>
    <w:pPr>
      <w:ind w:left="720"/>
      <w:contextualSpacing/>
    </w:pPr>
  </w:style>
  <w:style w:type="character" w:customStyle="1" w:styleId="41">
    <w:name w:val="Intense Emphasis"/>
    <w:basedOn w:val="22"/>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2"/>
    <w:link w:val="42"/>
    <w:qFormat/>
    <w:uiPriority w:val="30"/>
    <w:rPr>
      <w:i/>
      <w:iCs/>
      <w:color w:val="104862" w:themeColor="accent1" w:themeShade="BF"/>
    </w:rPr>
  </w:style>
  <w:style w:type="character" w:customStyle="1" w:styleId="44">
    <w:name w:val="Intense Reference"/>
    <w:basedOn w:val="22"/>
    <w:qFormat/>
    <w:uiPriority w:val="32"/>
    <w:rPr>
      <w:b/>
      <w:bCs/>
      <w:smallCaps/>
      <w:color w:val="104862" w:themeColor="accent1" w:themeShade="BF"/>
      <w:spacing w:val="5"/>
    </w:rPr>
  </w:style>
  <w:style w:type="character" w:customStyle="1" w:styleId="45">
    <w:name w:val="页眉 字符"/>
    <w:basedOn w:val="22"/>
    <w:link w:val="16"/>
    <w:qFormat/>
    <w:uiPriority w:val="99"/>
    <w:rPr>
      <w:sz w:val="18"/>
      <w:szCs w:val="18"/>
    </w:rPr>
  </w:style>
  <w:style w:type="character" w:customStyle="1" w:styleId="46">
    <w:name w:val="页脚 字符"/>
    <w:basedOn w:val="22"/>
    <w:link w:val="15"/>
    <w:qFormat/>
    <w:uiPriority w:val="99"/>
    <w:rPr>
      <w:sz w:val="18"/>
      <w:szCs w:val="18"/>
    </w:rPr>
  </w:style>
  <w:style w:type="character" w:customStyle="1" w:styleId="47">
    <w:name w:val="正文文本 字符"/>
    <w:basedOn w:val="22"/>
    <w:link w:val="2"/>
    <w:semiHidden/>
    <w:qFormat/>
    <w:uiPriority w:val="99"/>
    <w:rPr>
      <w14:ligatures w14:val="none"/>
    </w:rPr>
  </w:style>
  <w:style w:type="character" w:customStyle="1" w:styleId="48">
    <w:name w:val="正文文本首行缩进 字符"/>
    <w:basedOn w:val="47"/>
    <w:link w:val="19"/>
    <w:qFormat/>
    <w:uiPriority w:val="0"/>
    <w:rPr>
      <w:szCs w:val="24"/>
      <w14:ligatures w14:val="none"/>
    </w:rPr>
  </w:style>
  <w:style w:type="character" w:customStyle="1" w:styleId="49">
    <w:name w:val="正文文本缩进 字符"/>
    <w:basedOn w:val="22"/>
    <w:link w:val="13"/>
    <w:semiHidden/>
    <w:qFormat/>
    <w:uiPriority w:val="99"/>
    <w:rPr>
      <w:rFonts w:ascii="宋体" w:hAnsi="宋体" w:eastAsia="宋体" w:cs="宋体"/>
      <w:kern w:val="0"/>
      <w:sz w:val="20"/>
      <w:szCs w:val="20"/>
      <w14:ligatures w14:val="none"/>
    </w:rPr>
  </w:style>
  <w:style w:type="character" w:customStyle="1" w:styleId="50">
    <w:name w:val="正文文本首行缩进 2 字符"/>
    <w:basedOn w:val="49"/>
    <w:link w:val="20"/>
    <w:qFormat/>
    <w:uiPriority w:val="0"/>
    <w:rPr>
      <w:rFonts w:ascii="宋体" w:hAnsi="宋体" w:eastAsia="宋体" w:cs="宋体"/>
      <w:kern w:val="0"/>
      <w:sz w:val="20"/>
      <w:szCs w:val="20"/>
      <w14:ligatures w14:val="none"/>
    </w:rPr>
  </w:style>
  <w:style w:type="paragraph" w:styleId="51">
    <w:name w:val="No Spacing"/>
    <w:basedOn w:val="1"/>
    <w:link w:val="52"/>
    <w:qFormat/>
    <w:uiPriority w:val="1"/>
    <w:pPr>
      <w:widowControl/>
      <w:jc w:val="left"/>
    </w:pPr>
    <w:rPr>
      <w:rFonts w:asciiTheme="majorHAnsi" w:hAnsiTheme="majorHAnsi" w:eastAsiaTheme="majorEastAsia" w:cstheme="majorBidi"/>
      <w:sz w:val="22"/>
      <w:szCs w:val="22"/>
      <w:lang w:eastAsia="en-US" w:bidi="en-US"/>
    </w:rPr>
  </w:style>
  <w:style w:type="character" w:customStyle="1" w:styleId="52">
    <w:name w:val="无间隔 字符"/>
    <w:basedOn w:val="22"/>
    <w:link w:val="51"/>
    <w:qFormat/>
    <w:uiPriority w:val="1"/>
    <w:rPr>
      <w:rFonts w:asciiTheme="majorHAnsi" w:hAnsiTheme="majorHAnsi" w:eastAsiaTheme="majorEastAsia" w:cstheme="majorBidi"/>
      <w:kern w:val="0"/>
      <w:sz w:val="22"/>
      <w:lang w:eastAsia="en-US" w:bidi="en-US"/>
      <w14:ligatures w14:val="none"/>
    </w:rPr>
  </w:style>
  <w:style w:type="character" w:customStyle="1" w:styleId="53">
    <w:name w:val="不明显强调1"/>
    <w:qFormat/>
    <w:uiPriority w:val="19"/>
    <w:rPr>
      <w:i/>
      <w:iCs/>
    </w:rPr>
  </w:style>
  <w:style w:type="character" w:customStyle="1" w:styleId="54">
    <w:name w:val="明显强调1"/>
    <w:qFormat/>
    <w:uiPriority w:val="21"/>
    <w:rPr>
      <w:i/>
      <w:iCs/>
      <w:caps/>
      <w:spacing w:val="10"/>
      <w:sz w:val="20"/>
      <w:szCs w:val="20"/>
    </w:rPr>
  </w:style>
  <w:style w:type="character" w:customStyle="1" w:styleId="55">
    <w:name w:val="不明显参考1"/>
    <w:basedOn w:val="22"/>
    <w:qFormat/>
    <w:uiPriority w:val="31"/>
    <w:rPr>
      <w:rFonts w:asciiTheme="minorHAnsi" w:hAnsiTheme="minorHAnsi" w:eastAsiaTheme="minorEastAsia" w:cstheme="minorBidi"/>
      <w:i/>
      <w:iCs/>
      <w:color w:val="80350E" w:themeColor="accent2" w:themeShade="80"/>
    </w:rPr>
  </w:style>
  <w:style w:type="character" w:customStyle="1" w:styleId="56">
    <w:name w:val="明显参考1"/>
    <w:qFormat/>
    <w:uiPriority w:val="32"/>
    <w:rPr>
      <w:rFonts w:asciiTheme="minorHAnsi" w:hAnsiTheme="minorHAnsi" w:eastAsiaTheme="minorEastAsia" w:cstheme="minorBidi"/>
      <w:b/>
      <w:bCs/>
      <w:i/>
      <w:iCs/>
      <w:color w:val="80350E" w:themeColor="accent2" w:themeShade="80"/>
    </w:rPr>
  </w:style>
  <w:style w:type="character" w:customStyle="1" w:styleId="57">
    <w:name w:val="书籍标题1"/>
    <w:qFormat/>
    <w:uiPriority w:val="33"/>
    <w:rPr>
      <w:caps/>
      <w:color w:val="80350E" w:themeColor="accent2" w:themeShade="80"/>
      <w:spacing w:val="5"/>
      <w:u w:color="7F340D" w:themeColor="accent2" w:themeShade="7F"/>
    </w:rPr>
  </w:style>
  <w:style w:type="paragraph" w:customStyle="1" w:styleId="58">
    <w:name w:val="TOC 标题1"/>
    <w:basedOn w:val="3"/>
    <w:next w:val="1"/>
    <w:semiHidden/>
    <w:unhideWhenUsed/>
    <w:qFormat/>
    <w:uiPriority w:val="39"/>
    <w:pPr>
      <w:keepNext w:val="0"/>
      <w:keepLines w:val="0"/>
      <w:widowControl/>
      <w:pBdr>
        <w:bottom w:val="thinThickSmallGap" w:color="BF4F14" w:themeColor="accent2" w:themeShade="BF" w:sz="12" w:space="1"/>
      </w:pBdr>
      <w:spacing w:before="400" w:after="200" w:line="252" w:lineRule="auto"/>
      <w:jc w:val="center"/>
      <w:outlineLvl w:val="9"/>
    </w:pPr>
    <w:rPr>
      <w:caps/>
      <w:color w:val="80350E" w:themeColor="accent2" w:themeShade="80"/>
      <w:spacing w:val="20"/>
      <w:sz w:val="28"/>
      <w:szCs w:val="28"/>
      <w:lang w:eastAsia="en-US" w:bidi="en-US"/>
    </w:rPr>
  </w:style>
  <w:style w:type="paragraph" w:customStyle="1" w:styleId="59">
    <w:name w:val="font5"/>
    <w:basedOn w:val="1"/>
    <w:qFormat/>
    <w:uiPriority w:val="0"/>
    <w:pPr>
      <w:widowControl/>
      <w:spacing w:before="100" w:beforeAutospacing="1" w:after="100" w:afterAutospacing="1"/>
      <w:jc w:val="left"/>
    </w:pPr>
    <w:rPr>
      <w:sz w:val="18"/>
      <w:szCs w:val="18"/>
    </w:rPr>
  </w:style>
  <w:style w:type="paragraph" w:customStyle="1" w:styleId="60">
    <w:name w:val="xl65"/>
    <w:basedOn w:val="1"/>
    <w:qFormat/>
    <w:uiPriority w:val="0"/>
    <w:pPr>
      <w:widowControl/>
      <w:spacing w:before="100" w:beforeAutospacing="1" w:after="100" w:afterAutospacing="1"/>
      <w:jc w:val="left"/>
    </w:pPr>
  </w:style>
  <w:style w:type="paragraph" w:customStyle="1" w:styleId="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63">
    <w:name w:val="xl68"/>
    <w:basedOn w:val="1"/>
    <w:qFormat/>
    <w:uiPriority w:val="0"/>
    <w:pPr>
      <w:widowControl/>
      <w:spacing w:before="100" w:beforeAutospacing="1" w:after="100" w:afterAutospacing="1"/>
      <w:jc w:val="left"/>
    </w:pPr>
  </w:style>
  <w:style w:type="paragraph" w:customStyle="1" w:styleId="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4"/>
      <w:szCs w:val="24"/>
    </w:rPr>
  </w:style>
  <w:style w:type="paragraph" w:customStyle="1" w:styleId="66">
    <w:name w:val="xl71"/>
    <w:basedOn w:val="1"/>
    <w:qFormat/>
    <w:uiPriority w:val="0"/>
    <w:pPr>
      <w:widowControl/>
      <w:shd w:val="clear" w:color="000000" w:fill="FFFFFF"/>
      <w:spacing w:before="100" w:beforeAutospacing="1" w:after="100" w:afterAutospacing="1"/>
      <w:jc w:val="left"/>
    </w:pPr>
    <w:rPr>
      <w:sz w:val="24"/>
      <w:szCs w:val="24"/>
    </w:rPr>
  </w:style>
  <w:style w:type="paragraph" w:customStyle="1" w:styleId="67">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68">
    <w:name w:val="xl73"/>
    <w:basedOn w:val="1"/>
    <w:qFormat/>
    <w:uiPriority w:val="0"/>
    <w:pPr>
      <w:widowControl/>
      <w:pBdr>
        <w:left w:val="single" w:color="auto" w:sz="4" w:space="0"/>
        <w:right w:val="single" w:color="auto" w:sz="4" w:space="0"/>
      </w:pBdr>
      <w:spacing w:before="100" w:beforeAutospacing="1" w:after="100" w:afterAutospacing="1"/>
      <w:jc w:val="center"/>
    </w:pPr>
    <w:rPr>
      <w:sz w:val="24"/>
      <w:szCs w:val="24"/>
    </w:rPr>
  </w:style>
  <w:style w:type="paragraph" w:customStyle="1" w:styleId="69">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70">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sz w:val="22"/>
      <w:szCs w:val="22"/>
    </w:rPr>
  </w:style>
  <w:style w:type="paragraph" w:customStyle="1" w:styleId="7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sz w:val="22"/>
      <w:szCs w:val="22"/>
    </w:rPr>
  </w:style>
  <w:style w:type="paragraph" w:customStyle="1" w:styleId="72">
    <w:name w:val="xl77"/>
    <w:basedOn w:val="1"/>
    <w:qFormat/>
    <w:uiPriority w:val="0"/>
    <w:pPr>
      <w:widowControl/>
      <w:spacing w:before="100" w:beforeAutospacing="1" w:after="100" w:afterAutospacing="1"/>
      <w:jc w:val="center"/>
    </w:pPr>
  </w:style>
  <w:style w:type="paragraph" w:customStyle="1" w:styleId="7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4"/>
      <w:szCs w:val="24"/>
    </w:rPr>
  </w:style>
  <w:style w:type="paragraph" w:customStyle="1" w:styleId="74">
    <w:name w:val="xl79"/>
    <w:basedOn w:val="1"/>
    <w:qFormat/>
    <w:uiPriority w:val="0"/>
    <w:pPr>
      <w:widowControl/>
      <w:spacing w:before="100" w:beforeAutospacing="1" w:after="100" w:afterAutospacing="1"/>
      <w:jc w:val="center"/>
    </w:pPr>
  </w:style>
  <w:style w:type="paragraph" w:customStyle="1" w:styleId="75">
    <w:name w:val="Revision"/>
    <w:hidden/>
    <w:unhideWhenUsed/>
    <w:qFormat/>
    <w:uiPriority w:val="99"/>
    <w:rPr>
      <w:rFonts w:ascii="宋体" w:hAnsi="宋体" w:eastAsia="宋体" w:cs="宋体"/>
      <w:kern w:val="0"/>
      <w:sz w:val="20"/>
      <w:szCs w:val="20"/>
      <w:lang w:val="en-US" w:eastAsia="zh-CN" w:bidi="ar-SA"/>
      <w14:ligatures w14:val="none"/>
    </w:rPr>
  </w:style>
  <w:style w:type="paragraph" w:customStyle="1" w:styleId="76">
    <w:name w:val="投标正文小四"/>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2448</Words>
  <Characters>2753</Characters>
  <Lines>828</Lines>
  <Paragraphs>1065</Paragraphs>
  <TotalTime>6</TotalTime>
  <ScaleCrop>false</ScaleCrop>
  <LinksUpToDate>false</LinksUpToDate>
  <CharactersWithSpaces>2762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2025-06-28T16:25:00Z</dcterms:created>
  <dc:creator>lidongquan</dc:creator>
  <cp:lastModifiedBy>燕</cp:lastModifiedBy>
  <dcterms:modified xsi:type="dcterms:W3CDTF">2025-07-31T01:24:08Z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D6E610CAE57042B3A42790E494AD7C84</vt:lpwstr>
  </property>
  <property fmtid="{D5CDD505-2E9C-101B-9397-08002B2CF9AE}" pid="4" name="KSOTemplateDocerSaveRecord">
    <vt:lpwstr>eyJoZGlkIjoiMWVmZjBjODNiMjI1YTgzYTQ0YWU5YjdmMjFjOWI4MWUiLCJ1c2VySWQiOiI1MDEzNzQyOTUifQ==</vt:lpwstr>
  </property>
</Properties>
</file>