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D055">
      <w:pPr>
        <w:pStyle w:val="2"/>
        <w:rPr>
          <w:rFonts w:hint="eastAsia"/>
          <w:color w:val="000000"/>
        </w:rPr>
      </w:pPr>
      <w:r>
        <w:rPr>
          <w:rFonts w:hint="eastAsia"/>
          <w:color w:val="000000"/>
        </w:rPr>
        <w:t>附件3：</w:t>
      </w:r>
    </w:p>
    <w:p w14:paraId="360E2E13">
      <w:pPr>
        <w:spacing w:line="360" w:lineRule="auto"/>
        <w:ind w:firstLine="602" w:firstLineChars="200"/>
        <w:jc w:val="center"/>
        <w:rPr>
          <w:rFonts w:hint="eastAsia" w:ascii="宋体" w:hAnsi="宋体" w:cs="宋体"/>
          <w:b/>
          <w:bCs/>
          <w:sz w:val="30"/>
          <w:szCs w:val="30"/>
        </w:rPr>
      </w:pPr>
      <w:r>
        <w:rPr>
          <w:rFonts w:hint="eastAsia" w:ascii="宋体" w:hAnsi="宋体" w:cs="宋体"/>
          <w:b/>
          <w:bCs/>
          <w:sz w:val="30"/>
          <w:szCs w:val="30"/>
        </w:rPr>
        <w:t>评审方案</w:t>
      </w:r>
    </w:p>
    <w:p w14:paraId="2E3295AA">
      <w:pPr>
        <w:spacing w:line="360" w:lineRule="auto"/>
        <w:ind w:firstLine="422" w:firstLineChars="200"/>
        <w:rPr>
          <w:rFonts w:hint="eastAsia" w:ascii="宋体" w:hAnsi="宋体"/>
          <w:szCs w:val="21"/>
        </w:rPr>
      </w:pPr>
      <w:r>
        <w:rPr>
          <w:rFonts w:hint="eastAsia" w:ascii="宋体" w:hAnsi="宋体"/>
          <w:b/>
          <w:bCs/>
          <w:szCs w:val="21"/>
        </w:rPr>
        <w:t>1、评审步骤：</w:t>
      </w:r>
      <w:r>
        <w:rPr>
          <w:rFonts w:hint="eastAsia" w:ascii="宋体" w:hAnsi="宋体"/>
          <w:szCs w:val="21"/>
        </w:rPr>
        <w:t>评审小组对响应文件的评审分为初审（资格性和符合性审查，详见响应文件模版参考内容）和详细评审，初审通过才进入详细评审环节。</w:t>
      </w:r>
    </w:p>
    <w:p w14:paraId="0A8B58B0">
      <w:pPr>
        <w:spacing w:line="360" w:lineRule="auto"/>
        <w:ind w:firstLine="420" w:firstLineChars="200"/>
        <w:rPr>
          <w:rFonts w:hint="eastAsia" w:ascii="宋体" w:hAnsi="宋体"/>
          <w:szCs w:val="21"/>
        </w:rPr>
      </w:pPr>
      <w:r>
        <w:rPr>
          <w:rFonts w:hint="eastAsia" w:ascii="宋体" w:hAnsi="宋体"/>
          <w:szCs w:val="21"/>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2F7931FE">
      <w:pPr>
        <w:spacing w:line="360" w:lineRule="auto"/>
        <w:ind w:firstLine="422" w:firstLineChars="200"/>
        <w:rPr>
          <w:rFonts w:hint="eastAsia" w:ascii="宋体" w:hAnsi="宋体"/>
          <w:szCs w:val="21"/>
        </w:rPr>
      </w:pPr>
      <w:r>
        <w:rPr>
          <w:rFonts w:hint="eastAsia" w:ascii="宋体" w:hAnsi="宋体"/>
          <w:b/>
          <w:bCs/>
          <w:szCs w:val="21"/>
        </w:rPr>
        <w:t>3、评审总得分＝商务技术得分+响应报价得分</w:t>
      </w:r>
      <w:r>
        <w:rPr>
          <w:rFonts w:hint="eastAsia" w:ascii="宋体" w:hAnsi="宋体"/>
          <w:szCs w:val="21"/>
        </w:rPr>
        <w:t>　　</w:t>
      </w:r>
    </w:p>
    <w:p w14:paraId="49AFE150">
      <w:pPr>
        <w:spacing w:line="360" w:lineRule="auto"/>
        <w:ind w:firstLine="422" w:firstLineChars="200"/>
        <w:rPr>
          <w:rFonts w:hint="eastAsia" w:ascii="宋体" w:hAnsi="宋体"/>
          <w:szCs w:val="21"/>
        </w:rPr>
      </w:pPr>
      <w:r>
        <w:rPr>
          <w:rFonts w:hint="eastAsia" w:ascii="宋体" w:hAnsi="宋体"/>
          <w:b/>
          <w:bCs/>
          <w:szCs w:val="21"/>
        </w:rPr>
        <w:t>4、</w:t>
      </w:r>
      <w:r>
        <w:rPr>
          <w:rFonts w:hint="eastAsia" w:ascii="宋体" w:hAnsi="宋体"/>
          <w:szCs w:val="21"/>
        </w:rPr>
        <w:t>评审小组按评审得分由高到低进行排序，</w:t>
      </w:r>
      <w:r>
        <w:rPr>
          <w:rFonts w:hint="eastAsia" w:ascii="宋体" w:hAnsi="宋体" w:eastAsia="宋体" w:cs="Times New Roman"/>
          <w:kern w:val="2"/>
          <w:sz w:val="21"/>
          <w:szCs w:val="21"/>
        </w:rPr>
        <w:t>排名第一的</w:t>
      </w:r>
      <w:r>
        <w:rPr>
          <w:rFonts w:hint="eastAsia" w:ascii="宋体" w:hAnsi="宋体" w:eastAsia="宋体" w:cs="Times New Roman"/>
          <w:kern w:val="2"/>
          <w:sz w:val="21"/>
          <w:szCs w:val="21"/>
          <w:lang w:eastAsia="zh-CN"/>
        </w:rPr>
        <w:t>供应商</w:t>
      </w:r>
      <w:r>
        <w:rPr>
          <w:rFonts w:hint="eastAsia" w:ascii="宋体" w:hAnsi="宋体" w:eastAsia="宋体" w:cs="Times New Roman"/>
          <w:kern w:val="2"/>
          <w:sz w:val="21"/>
          <w:szCs w:val="21"/>
        </w:rPr>
        <w:t>推荐为</w:t>
      </w:r>
      <w:r>
        <w:rPr>
          <w:rFonts w:hint="eastAsia" w:ascii="宋体" w:hAnsi="宋体" w:eastAsia="宋体" w:cs="Times New Roman"/>
          <w:kern w:val="2"/>
          <w:sz w:val="21"/>
          <w:szCs w:val="21"/>
          <w:lang w:eastAsia="zh-CN"/>
        </w:rPr>
        <w:t>第一成交候选人</w:t>
      </w:r>
      <w:r>
        <w:rPr>
          <w:rFonts w:hint="eastAsia" w:ascii="宋体" w:hAnsi="宋体"/>
          <w:szCs w:val="21"/>
        </w:rPr>
        <w:t>，排名第二的供应商为第二成交候选人，排名第三的供应商为第三成交候选人。出现综合总得分并列时，按下列顺序比较确定：（1）报价（由低到高）；（2）商务技术评分（由高到低）。如以上都相同的，由全体评审专家投票确定名次。</w:t>
      </w:r>
    </w:p>
    <w:p w14:paraId="22777E5D">
      <w:pPr>
        <w:spacing w:line="360" w:lineRule="auto"/>
        <w:ind w:firstLine="422" w:firstLineChars="200"/>
        <w:rPr>
          <w:rFonts w:hint="eastAsia" w:ascii="宋体" w:hAnsi="宋体"/>
          <w:b/>
          <w:bCs/>
          <w:szCs w:val="21"/>
        </w:rPr>
      </w:pPr>
      <w:r>
        <w:rPr>
          <w:rFonts w:hint="eastAsia" w:ascii="宋体" w:hAnsi="宋体"/>
          <w:b/>
          <w:bCs/>
          <w:szCs w:val="21"/>
        </w:rPr>
        <w:t>5、响应文件的澄清</w:t>
      </w:r>
    </w:p>
    <w:p w14:paraId="458EEF47">
      <w:pPr>
        <w:spacing w:line="360" w:lineRule="auto"/>
        <w:ind w:firstLine="420" w:firstLineChars="200"/>
        <w:rPr>
          <w:rFonts w:hint="eastAsia" w:ascii="宋体" w:hAnsi="宋体"/>
          <w:szCs w:val="21"/>
        </w:rPr>
      </w:pPr>
      <w:r>
        <w:rPr>
          <w:rFonts w:hint="eastAsia" w:ascii="宋体" w:hAnsi="宋体"/>
          <w:szCs w:val="21"/>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511116B5">
      <w:pPr>
        <w:spacing w:line="360" w:lineRule="auto"/>
        <w:ind w:firstLine="422" w:firstLineChars="200"/>
      </w:pPr>
      <w:r>
        <w:rPr>
          <w:rFonts w:hint="eastAsia" w:ascii="宋体" w:hAnsi="宋体"/>
          <w:b/>
          <w:bCs/>
          <w:szCs w:val="21"/>
        </w:rPr>
        <w:t>6、</w:t>
      </w:r>
      <w:r>
        <w:rPr>
          <w:rFonts w:hint="eastAsia" w:ascii="宋体" w:hAnsi="宋体"/>
          <w:szCs w:val="21"/>
        </w:rPr>
        <w:t>评审专家按照总得分由高到低的顺序推荐中选人名单。</w:t>
      </w:r>
      <w:r>
        <w:rPr>
          <w:rFonts w:hint="eastAsia" w:ascii="宋体" w:hAnsi="宋体" w:eastAsia="宋体" w:cs="Times New Roman"/>
          <w:kern w:val="2"/>
          <w:sz w:val="21"/>
          <w:szCs w:val="21"/>
        </w:rPr>
        <w:t>排名第一的</w:t>
      </w:r>
      <w:r>
        <w:rPr>
          <w:rFonts w:hint="eastAsia" w:ascii="宋体" w:hAnsi="宋体" w:eastAsia="宋体" w:cs="Times New Roman"/>
          <w:kern w:val="2"/>
          <w:sz w:val="21"/>
          <w:szCs w:val="21"/>
          <w:lang w:eastAsia="zh-CN"/>
        </w:rPr>
        <w:t>供应商</w:t>
      </w:r>
      <w:r>
        <w:rPr>
          <w:rFonts w:hint="eastAsia" w:ascii="宋体" w:hAnsi="宋体" w:eastAsia="宋体" w:cs="Times New Roman"/>
          <w:kern w:val="2"/>
          <w:sz w:val="21"/>
          <w:szCs w:val="21"/>
        </w:rPr>
        <w:t>推荐为</w:t>
      </w:r>
      <w:r>
        <w:rPr>
          <w:rFonts w:hint="eastAsia" w:ascii="宋体" w:hAnsi="宋体" w:eastAsia="宋体" w:cs="Times New Roman"/>
          <w:kern w:val="2"/>
          <w:sz w:val="21"/>
          <w:szCs w:val="21"/>
          <w:lang w:eastAsia="zh-CN"/>
        </w:rPr>
        <w:t>第一成交候选人</w:t>
      </w:r>
      <w:r>
        <w:rPr>
          <w:rFonts w:hint="eastAsia" w:ascii="宋体" w:hAnsi="宋体"/>
          <w:szCs w:val="21"/>
        </w:rPr>
        <w:t>。如果推荐的成交供应商放弃中选资格或不能履行合同的，则采购人在法律法规允许的情况下可按中选人排名顺序依次确定递补中选人资格，或重新组织采购。</w:t>
      </w:r>
    </w:p>
    <w:p w14:paraId="1023AAE2">
      <w:pPr>
        <w:spacing w:line="480" w:lineRule="auto"/>
        <w:jc w:val="center"/>
        <w:rPr>
          <w:rFonts w:hint="eastAsia" w:ascii="宋体" w:hAnsi="宋体" w:cs="宋体"/>
          <w:b/>
          <w:bCs/>
          <w:sz w:val="28"/>
          <w:szCs w:val="28"/>
        </w:rPr>
      </w:pPr>
    </w:p>
    <w:p w14:paraId="791FC9BC">
      <w:pPr>
        <w:spacing w:line="480" w:lineRule="auto"/>
        <w:jc w:val="center"/>
        <w:rPr>
          <w:rFonts w:hint="eastAsia" w:ascii="宋体" w:hAnsi="宋体" w:cs="宋体"/>
          <w:b/>
          <w:bCs/>
          <w:sz w:val="28"/>
          <w:szCs w:val="28"/>
        </w:rPr>
      </w:pPr>
      <w:r>
        <w:rPr>
          <w:rFonts w:hint="eastAsia" w:ascii="宋体" w:hAnsi="宋体" w:cs="宋体"/>
          <w:b/>
          <w:bCs/>
          <w:sz w:val="28"/>
          <w:szCs w:val="28"/>
        </w:rPr>
        <w:t>附表：中山市黄圃人民医院网络安全设备采购及服务升级项目</w:t>
      </w:r>
    </w:p>
    <w:p w14:paraId="52D237D0">
      <w:pPr>
        <w:spacing w:line="480" w:lineRule="auto"/>
        <w:jc w:val="center"/>
        <w:rPr>
          <w:sz w:val="28"/>
          <w:szCs w:val="28"/>
        </w:rPr>
      </w:pPr>
      <w:r>
        <w:rPr>
          <w:rFonts w:hint="eastAsia" w:ascii="宋体" w:hAnsi="宋体" w:cs="宋体"/>
          <w:b/>
          <w:bCs/>
          <w:sz w:val="28"/>
          <w:szCs w:val="28"/>
        </w:rPr>
        <w:t>评分表</w:t>
      </w:r>
    </w:p>
    <w:tbl>
      <w:tblPr>
        <w:tblStyle w:val="10"/>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87"/>
        <w:gridCol w:w="6443"/>
        <w:gridCol w:w="809"/>
      </w:tblGrid>
      <w:tr w14:paraId="56A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16" w:type="dxa"/>
            <w:vAlign w:val="center"/>
          </w:tcPr>
          <w:p w14:paraId="72F7380E">
            <w:pPr>
              <w:pStyle w:val="8"/>
              <w:tabs>
                <w:tab w:val="clear" w:pos="4153"/>
                <w:tab w:val="clear" w:pos="8306"/>
              </w:tabs>
              <w:snapToGrid/>
              <w:spacing w:line="360" w:lineRule="auto"/>
              <w:jc w:val="center"/>
              <w:rPr>
                <w:rFonts w:hint="eastAsia" w:ascii="宋体" w:hAnsi="宋体" w:cs="宋体"/>
                <w:b/>
                <w:bCs/>
                <w:sz w:val="21"/>
                <w:szCs w:val="21"/>
              </w:rPr>
            </w:pPr>
            <w:bookmarkStart w:id="0" w:name="OLE_LINK2"/>
            <w:r>
              <w:rPr>
                <w:rFonts w:hint="eastAsia" w:ascii="宋体" w:hAnsi="宋体" w:cs="宋体"/>
                <w:b/>
                <w:bCs/>
                <w:sz w:val="21"/>
                <w:szCs w:val="21"/>
              </w:rPr>
              <w:t>项目</w:t>
            </w:r>
          </w:p>
        </w:tc>
        <w:tc>
          <w:tcPr>
            <w:tcW w:w="1087" w:type="dxa"/>
            <w:vAlign w:val="center"/>
          </w:tcPr>
          <w:p w14:paraId="0CFE7D83">
            <w:pPr>
              <w:pStyle w:val="8"/>
              <w:tabs>
                <w:tab w:val="clear" w:pos="4153"/>
                <w:tab w:val="clear" w:pos="8306"/>
              </w:tabs>
              <w:snapToGrid/>
              <w:spacing w:line="360" w:lineRule="auto"/>
              <w:jc w:val="center"/>
              <w:rPr>
                <w:rFonts w:hint="eastAsia" w:ascii="宋体" w:hAnsi="宋体" w:cs="宋体"/>
                <w:b/>
                <w:bCs/>
                <w:sz w:val="21"/>
                <w:szCs w:val="21"/>
              </w:rPr>
            </w:pPr>
            <w:r>
              <w:rPr>
                <w:rFonts w:hint="eastAsia" w:ascii="宋体" w:hAnsi="宋体" w:cs="宋体"/>
                <w:b/>
                <w:bCs/>
                <w:sz w:val="21"/>
                <w:szCs w:val="21"/>
              </w:rPr>
              <w:t>评审因素</w:t>
            </w:r>
          </w:p>
        </w:tc>
        <w:tc>
          <w:tcPr>
            <w:tcW w:w="6443" w:type="dxa"/>
            <w:vAlign w:val="center"/>
          </w:tcPr>
          <w:p w14:paraId="4725F457">
            <w:pPr>
              <w:pStyle w:val="8"/>
              <w:tabs>
                <w:tab w:val="clear" w:pos="4153"/>
                <w:tab w:val="clear" w:pos="8306"/>
              </w:tabs>
              <w:snapToGrid/>
              <w:spacing w:line="360" w:lineRule="auto"/>
              <w:jc w:val="center"/>
              <w:rPr>
                <w:rFonts w:hint="eastAsia" w:ascii="宋体" w:hAnsi="宋体" w:cs="宋体"/>
                <w:b/>
                <w:bCs/>
                <w:sz w:val="21"/>
                <w:szCs w:val="21"/>
              </w:rPr>
            </w:pPr>
            <w:r>
              <w:rPr>
                <w:rFonts w:hint="eastAsia" w:ascii="宋体" w:hAnsi="宋体" w:cs="宋体"/>
                <w:b/>
                <w:bCs/>
                <w:sz w:val="21"/>
                <w:szCs w:val="21"/>
              </w:rPr>
              <w:t>评审细则</w:t>
            </w:r>
          </w:p>
        </w:tc>
        <w:tc>
          <w:tcPr>
            <w:tcW w:w="809" w:type="dxa"/>
            <w:vAlign w:val="center"/>
          </w:tcPr>
          <w:p w14:paraId="00A3117D">
            <w:pPr>
              <w:pStyle w:val="8"/>
              <w:tabs>
                <w:tab w:val="clear" w:pos="4153"/>
                <w:tab w:val="clear" w:pos="8306"/>
              </w:tabs>
              <w:snapToGrid/>
              <w:spacing w:line="360" w:lineRule="auto"/>
              <w:jc w:val="center"/>
              <w:rPr>
                <w:rFonts w:hint="eastAsia" w:ascii="宋体" w:hAnsi="宋体" w:cs="宋体"/>
                <w:b/>
                <w:bCs/>
                <w:sz w:val="21"/>
                <w:szCs w:val="21"/>
              </w:rPr>
            </w:pPr>
            <w:r>
              <w:rPr>
                <w:rFonts w:hint="eastAsia" w:ascii="宋体" w:hAnsi="宋体" w:cs="宋体"/>
                <w:b/>
                <w:bCs/>
                <w:sz w:val="21"/>
                <w:szCs w:val="21"/>
              </w:rPr>
              <w:t>分值</w:t>
            </w:r>
          </w:p>
        </w:tc>
      </w:tr>
      <w:tr w14:paraId="0A5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6" w:type="dxa"/>
            <w:vMerge w:val="restart"/>
            <w:vAlign w:val="center"/>
          </w:tcPr>
          <w:p w14:paraId="11993D1E">
            <w:pPr>
              <w:widowControl/>
              <w:spacing w:line="360" w:lineRule="auto"/>
              <w:jc w:val="center"/>
              <w:rPr>
                <w:rFonts w:hint="eastAsia" w:ascii="宋体" w:hAnsi="宋体" w:cs="宋体"/>
                <w:spacing w:val="15"/>
                <w:kern w:val="0"/>
                <w:szCs w:val="21"/>
                <w:shd w:val="clear" w:color="auto" w:fill="FFFFFF"/>
              </w:rPr>
            </w:pPr>
            <w:bookmarkStart w:id="1" w:name="_GoBack" w:colFirst="0" w:colLast="0"/>
            <w:r>
              <w:rPr>
                <w:rFonts w:hint="eastAsia" w:ascii="宋体" w:hAnsi="宋体" w:cs="宋体"/>
                <w:b/>
                <w:bCs/>
                <w:spacing w:val="15"/>
                <w:kern w:val="0"/>
                <w:szCs w:val="21"/>
                <w:shd w:val="clear" w:color="auto" w:fill="FFFFFF"/>
              </w:rPr>
              <w:t>商务技术部分</w:t>
            </w:r>
          </w:p>
        </w:tc>
        <w:tc>
          <w:tcPr>
            <w:tcW w:w="1087" w:type="dxa"/>
            <w:vAlign w:val="center"/>
          </w:tcPr>
          <w:p w14:paraId="75AF921D">
            <w:pPr>
              <w:tabs>
                <w:tab w:val="decimal" w:pos="315"/>
                <w:tab w:val="left" w:pos="630"/>
              </w:tabs>
              <w:spacing w:line="276" w:lineRule="auto"/>
              <w:jc w:val="center"/>
              <w:rPr>
                <w:rFonts w:hint="eastAsia" w:ascii="宋体" w:hAnsi="宋体"/>
                <w:szCs w:val="21"/>
              </w:rPr>
            </w:pPr>
            <w:r>
              <w:rPr>
                <w:rFonts w:hint="eastAsia" w:ascii="宋体" w:hAnsi="宋体" w:cs="宋体"/>
                <w:b/>
                <w:bCs/>
                <w:szCs w:val="21"/>
              </w:rPr>
              <w:t>重要条款响应程度</w:t>
            </w:r>
          </w:p>
        </w:tc>
        <w:tc>
          <w:tcPr>
            <w:tcW w:w="6443" w:type="dxa"/>
            <w:vMerge w:val="restart"/>
            <w:vAlign w:val="center"/>
          </w:tcPr>
          <w:p w14:paraId="4FB00A89">
            <w:pPr>
              <w:rPr>
                <w:rFonts w:hint="eastAsia" w:ascii="宋体" w:hAnsi="宋体" w:cs="宋体"/>
                <w:bCs/>
                <w:szCs w:val="21"/>
              </w:rPr>
            </w:pPr>
            <w:r>
              <w:rPr>
                <w:rFonts w:hint="eastAsia" w:ascii="宋体" w:hAnsi="宋体" w:cs="宋体"/>
                <w:bCs/>
                <w:szCs w:val="21"/>
              </w:rPr>
              <w:t>全部满足用户需求书【三、</w:t>
            </w:r>
            <w:r>
              <w:rPr>
                <w:rFonts w:hint="eastAsia" w:ascii="宋体" w:hAnsi="宋体" w:cs="宋体"/>
                <w:color w:val="000000" w:themeColor="text1"/>
                <w:szCs w:val="21"/>
                <w:lang w:bidi="ar"/>
                <w14:textFill>
                  <w14:solidFill>
                    <w14:schemeClr w14:val="tx1"/>
                  </w14:solidFill>
                </w14:textFill>
              </w:rPr>
              <w:t>采购内容及技术要求</w:t>
            </w:r>
            <w:r>
              <w:rPr>
                <w:rFonts w:hint="eastAsia" w:ascii="宋体" w:hAnsi="宋体" w:cs="宋体"/>
                <w:bCs/>
                <w:szCs w:val="21"/>
              </w:rPr>
              <w:t>】中带▲号的重要条款，得39分；每出现一处带▲号的重要条款负偏离，扣3分，最低得0分（本项目共13个带▲号的重要条款）。</w:t>
            </w:r>
          </w:p>
          <w:p w14:paraId="0EBE4F0B">
            <w:pPr>
              <w:rPr>
                <w:rFonts w:hint="eastAsia" w:ascii="宋体" w:hAnsi="宋体" w:cs="宋体"/>
                <w:bCs/>
                <w:szCs w:val="21"/>
              </w:rPr>
            </w:pPr>
            <w:r>
              <w:rPr>
                <w:rFonts w:hint="eastAsia" w:ascii="宋体" w:hAnsi="宋体" w:cs="宋体"/>
                <w:b/>
                <w:szCs w:val="21"/>
              </w:rPr>
              <w:t>注：需按照用户需求书要求提供证明材料。如响应文件中评审小组无法从所提供资料中判断是否符合要求的，视为负偏离。未提供或未按要求提供相关证明材料的不得分。</w:t>
            </w:r>
          </w:p>
        </w:tc>
        <w:tc>
          <w:tcPr>
            <w:tcW w:w="809" w:type="dxa"/>
            <w:vAlign w:val="center"/>
          </w:tcPr>
          <w:p w14:paraId="1AB84194">
            <w:pPr>
              <w:spacing w:line="360" w:lineRule="auto"/>
              <w:jc w:val="center"/>
            </w:pPr>
            <w:r>
              <w:rPr>
                <w:rFonts w:hint="eastAsia"/>
              </w:rPr>
              <w:t>39 分</w:t>
            </w:r>
          </w:p>
        </w:tc>
      </w:tr>
      <w:bookmarkEnd w:id="1"/>
      <w:tr w14:paraId="437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16" w:type="dxa"/>
            <w:vMerge w:val="continue"/>
            <w:tcBorders/>
            <w:vAlign w:val="center"/>
          </w:tcPr>
          <w:p w14:paraId="711E36BA">
            <w:pPr>
              <w:widowControl/>
              <w:spacing w:line="360" w:lineRule="auto"/>
              <w:jc w:val="center"/>
              <w:rPr>
                <w:rFonts w:hint="eastAsia" w:ascii="宋体" w:hAnsi="宋体" w:cs="宋体"/>
                <w:b/>
                <w:bCs/>
                <w:spacing w:val="15"/>
                <w:kern w:val="0"/>
                <w:szCs w:val="21"/>
                <w:shd w:val="clear" w:color="auto" w:fill="FFFFFF"/>
              </w:rPr>
            </w:pPr>
          </w:p>
        </w:tc>
        <w:tc>
          <w:tcPr>
            <w:tcW w:w="1087" w:type="dxa"/>
            <w:vAlign w:val="center"/>
          </w:tcPr>
          <w:p w14:paraId="4D03276E">
            <w:pPr>
              <w:tabs>
                <w:tab w:val="decimal" w:pos="315"/>
                <w:tab w:val="left" w:pos="630"/>
              </w:tabs>
              <w:spacing w:line="276" w:lineRule="auto"/>
              <w:jc w:val="center"/>
              <w:rPr>
                <w:rFonts w:hint="eastAsia" w:ascii="宋体" w:hAnsi="宋体" w:cs="宋体"/>
                <w:szCs w:val="21"/>
              </w:rPr>
            </w:pPr>
          </w:p>
        </w:tc>
        <w:tc>
          <w:tcPr>
            <w:tcW w:w="6443" w:type="dxa"/>
            <w:vMerge w:val="continue"/>
            <w:vAlign w:val="center"/>
          </w:tcPr>
          <w:p w14:paraId="25FA2238">
            <w:pPr>
              <w:rPr>
                <w:rFonts w:hint="eastAsia" w:ascii="宋体" w:hAnsi="宋体" w:cs="宋体"/>
                <w:bCs/>
                <w:szCs w:val="21"/>
              </w:rPr>
            </w:pPr>
          </w:p>
        </w:tc>
        <w:tc>
          <w:tcPr>
            <w:tcW w:w="809" w:type="dxa"/>
            <w:vAlign w:val="center"/>
          </w:tcPr>
          <w:p w14:paraId="36EDF2C0">
            <w:pPr>
              <w:spacing w:line="360" w:lineRule="auto"/>
              <w:jc w:val="center"/>
            </w:pPr>
          </w:p>
        </w:tc>
      </w:tr>
      <w:tr w14:paraId="64F6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916" w:type="dxa"/>
            <w:vMerge w:val="continue"/>
            <w:tcBorders/>
            <w:vAlign w:val="center"/>
          </w:tcPr>
          <w:p w14:paraId="62B348C5">
            <w:pPr>
              <w:widowControl/>
              <w:spacing w:line="360" w:lineRule="auto"/>
              <w:jc w:val="center"/>
              <w:rPr>
                <w:rFonts w:hint="eastAsia" w:ascii="宋体" w:hAnsi="宋体" w:cs="宋体"/>
                <w:spacing w:val="15"/>
                <w:kern w:val="0"/>
                <w:szCs w:val="21"/>
                <w:shd w:val="clear" w:color="auto" w:fill="FFFFFF"/>
              </w:rPr>
            </w:pPr>
          </w:p>
        </w:tc>
        <w:tc>
          <w:tcPr>
            <w:tcW w:w="1087" w:type="dxa"/>
            <w:vAlign w:val="center"/>
          </w:tcPr>
          <w:p w14:paraId="1D214CEA">
            <w:pPr>
              <w:tabs>
                <w:tab w:val="decimal" w:pos="315"/>
                <w:tab w:val="left" w:pos="630"/>
              </w:tabs>
              <w:spacing w:line="276" w:lineRule="auto"/>
              <w:jc w:val="center"/>
              <w:rPr>
                <w:rFonts w:hint="eastAsia" w:ascii="宋体" w:hAnsi="宋体"/>
                <w:szCs w:val="21"/>
              </w:rPr>
            </w:pPr>
            <w:r>
              <w:rPr>
                <w:rFonts w:hint="eastAsia" w:ascii="宋体" w:hAnsi="宋体"/>
                <w:b/>
                <w:bCs/>
                <w:szCs w:val="21"/>
              </w:rPr>
              <w:t>项目业绩</w:t>
            </w:r>
          </w:p>
        </w:tc>
        <w:tc>
          <w:tcPr>
            <w:tcW w:w="6443" w:type="dxa"/>
            <w:vAlign w:val="center"/>
          </w:tcPr>
          <w:p w14:paraId="06606E6E">
            <w:pPr>
              <w:rPr>
                <w:rFonts w:hint="eastAsia" w:ascii="宋体" w:hAnsi="宋体" w:cs="宋体"/>
                <w:bCs/>
                <w:szCs w:val="21"/>
              </w:rPr>
            </w:pPr>
            <w:r>
              <w:rPr>
                <w:rFonts w:hint="eastAsia" w:ascii="宋体" w:hAnsi="宋体" w:cs="宋体"/>
                <w:bCs/>
                <w:szCs w:val="21"/>
              </w:rPr>
              <w:t>供应商自2022年1月1日以来（以合同签订时间为准）承接的同类项目业绩，每个得2分，最高得4分。</w:t>
            </w:r>
          </w:p>
          <w:p w14:paraId="4427AEDC">
            <w:pPr>
              <w:tabs>
                <w:tab w:val="decimal" w:pos="315"/>
                <w:tab w:val="left" w:pos="630"/>
              </w:tabs>
              <w:spacing w:line="276" w:lineRule="auto"/>
              <w:rPr>
                <w:rFonts w:hint="eastAsia" w:ascii="宋体" w:hAnsi="宋体" w:cs="宋体"/>
                <w:bCs/>
                <w:szCs w:val="21"/>
              </w:rPr>
            </w:pPr>
            <w:r>
              <w:rPr>
                <w:rFonts w:hint="eastAsia" w:ascii="宋体" w:hAnsi="宋体" w:cs="宋体"/>
                <w:b/>
                <w:szCs w:val="21"/>
              </w:rPr>
              <w:t>注：需提供合同关键页复印件（至少含合同首页、盖章页、项目内容）并加盖供应商公章，不提供不得分。</w:t>
            </w:r>
          </w:p>
        </w:tc>
        <w:tc>
          <w:tcPr>
            <w:tcW w:w="809" w:type="dxa"/>
            <w:vAlign w:val="center"/>
          </w:tcPr>
          <w:p w14:paraId="03C6C802">
            <w:pPr>
              <w:spacing w:line="360" w:lineRule="auto"/>
              <w:jc w:val="center"/>
            </w:pPr>
            <w:r>
              <w:rPr>
                <w:rFonts w:hint="eastAsia"/>
              </w:rPr>
              <w:t>4分</w:t>
            </w:r>
          </w:p>
        </w:tc>
      </w:tr>
      <w:tr w14:paraId="4F2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916" w:type="dxa"/>
            <w:vMerge w:val="continue"/>
            <w:tcBorders/>
            <w:vAlign w:val="center"/>
          </w:tcPr>
          <w:p w14:paraId="159884FE">
            <w:pPr>
              <w:widowControl/>
              <w:spacing w:line="360" w:lineRule="auto"/>
              <w:jc w:val="center"/>
              <w:rPr>
                <w:rFonts w:hint="eastAsia" w:ascii="宋体" w:hAnsi="宋体" w:cs="宋体"/>
                <w:spacing w:val="15"/>
                <w:kern w:val="0"/>
                <w:szCs w:val="21"/>
                <w:shd w:val="clear" w:color="auto" w:fill="FFFFFF"/>
              </w:rPr>
            </w:pPr>
          </w:p>
        </w:tc>
        <w:tc>
          <w:tcPr>
            <w:tcW w:w="1087" w:type="dxa"/>
            <w:vAlign w:val="center"/>
          </w:tcPr>
          <w:p w14:paraId="2FA2A6D7">
            <w:pPr>
              <w:tabs>
                <w:tab w:val="decimal" w:pos="315"/>
                <w:tab w:val="left" w:pos="630"/>
              </w:tabs>
              <w:spacing w:line="276" w:lineRule="auto"/>
              <w:jc w:val="center"/>
              <w:rPr>
                <w:rFonts w:hint="eastAsia" w:ascii="宋体" w:hAnsi="宋体"/>
                <w:szCs w:val="21"/>
              </w:rPr>
            </w:pPr>
            <w:r>
              <w:rPr>
                <w:rFonts w:hint="eastAsia" w:ascii="宋体" w:hAnsi="宋体"/>
                <w:b/>
                <w:bCs/>
                <w:szCs w:val="21"/>
              </w:rPr>
              <w:t>项目团队能力</w:t>
            </w:r>
          </w:p>
        </w:tc>
        <w:tc>
          <w:tcPr>
            <w:tcW w:w="6443" w:type="dxa"/>
            <w:vAlign w:val="center"/>
          </w:tcPr>
          <w:p w14:paraId="6C0FEDAE">
            <w:pPr>
              <w:numPr>
                <w:ilvl w:val="0"/>
                <w:numId w:val="1"/>
              </w:numPr>
            </w:pPr>
            <w:r>
              <w:rPr>
                <w:rFonts w:hint="eastAsia" w:ascii="宋体" w:hAnsi="宋体" w:cs="宋体"/>
                <w:bCs/>
                <w:szCs w:val="21"/>
              </w:rPr>
              <w:t>对拟投入本项目的技术负责人的个人专业技术资格和技术实力进行评价：</w:t>
            </w:r>
            <w:r>
              <w:t>具备以下任意 4 类证书（每类 2 分，最高 4 分）：①系统集成项目管理工程师或信息系统项目管理师；②网络工程师或网络规划设计师；③通信工程师（中级）；④注册信息安全专业人员（CISP）证书。每满足 1 类证书得 2 分，最高 4 分。</w:t>
            </w:r>
          </w:p>
          <w:p w14:paraId="6748416B">
            <w:pPr>
              <w:numPr>
                <w:ilvl w:val="0"/>
                <w:numId w:val="1"/>
              </w:numPr>
              <w:rPr>
                <w:rFonts w:hint="eastAsia" w:ascii="宋体" w:hAnsi="宋体" w:cs="宋体"/>
                <w:bCs/>
                <w:szCs w:val="21"/>
              </w:rPr>
            </w:pPr>
            <w:r>
              <w:t>其他团队成员：需具备以下任意 2 类证书（每类 1 分，最高 2 分）：①信息安全工程师证书；②注册信息安全专业人员（CISP）；③网络工程师证书或网络规划设计师。每满足 1 类证书得 1 分，最高 2 分。</w:t>
            </w:r>
          </w:p>
          <w:p w14:paraId="0E224043">
            <w:pPr>
              <w:rPr>
                <w:rFonts w:hint="eastAsia" w:ascii="宋体" w:hAnsi="宋体" w:cs="宋体"/>
                <w:bCs/>
                <w:szCs w:val="21"/>
              </w:rPr>
            </w:pPr>
            <w:r>
              <w:rPr>
                <w:rFonts w:hint="eastAsia" w:ascii="宋体" w:hAnsi="宋体" w:cs="宋体"/>
                <w:b/>
                <w:szCs w:val="21"/>
              </w:rPr>
              <w:t>注：1.响应文件中须提供以上人员相关</w:t>
            </w:r>
            <w:r>
              <w:rPr>
                <w:rFonts w:hint="eastAsia" w:ascii="宋体" w:hAnsi="宋体" w:cs="宋体"/>
                <w:b/>
                <w:szCs w:val="21"/>
                <w:lang w:eastAsia="zh-CN"/>
              </w:rPr>
              <w:t>有效</w:t>
            </w:r>
            <w:r>
              <w:rPr>
                <w:rFonts w:hint="eastAsia" w:ascii="宋体" w:hAnsi="宋体" w:cs="宋体"/>
                <w:b/>
                <w:szCs w:val="21"/>
              </w:rPr>
              <w:t>资格证书复印件；2.提供供应商为其购买的2025年3月至响应截止当月之间任意一个月社保证明文件复印件或能证明双方建立劳务关系的证明材料复印件。如果供应商未能提供社保证明文件复印件或能证明双方建立劳务关系的证明材料的，可在响应文件中提供相关承诺，格式自拟</w:t>
            </w:r>
            <w:r>
              <w:rPr>
                <w:rFonts w:hint="eastAsia" w:ascii="宋体" w:hAnsi="宋体" w:cs="宋体"/>
                <w:bCs/>
                <w:szCs w:val="21"/>
              </w:rPr>
              <w:t>(承诺书内容包括但不限于以下内容:若我单位成交，合同签订时保证按响应文件中所配备的人员到位并提供以上拟派人员的社保证明文件或劳务合同，否则视为我单位放弃成交资格)，视为满足社保或劳务关系证明评审要求，不提供不得分。）</w:t>
            </w:r>
          </w:p>
          <w:p w14:paraId="230C5306">
            <w:pPr>
              <w:ind w:firstLine="422" w:firstLineChars="200"/>
              <w:rPr>
                <w:rFonts w:hint="eastAsia" w:ascii="宋体" w:hAnsi="宋体" w:cs="宋体"/>
                <w:bCs/>
                <w:szCs w:val="21"/>
              </w:rPr>
            </w:pPr>
            <w:r>
              <w:rPr>
                <w:rFonts w:hint="eastAsia" w:ascii="宋体" w:hAnsi="宋体" w:cs="宋体"/>
                <w:b/>
                <w:szCs w:val="21"/>
              </w:rPr>
              <w:t>未提供或未按要求提供相关证明材料的不得分。</w:t>
            </w:r>
          </w:p>
        </w:tc>
        <w:tc>
          <w:tcPr>
            <w:tcW w:w="809" w:type="dxa"/>
            <w:vAlign w:val="center"/>
          </w:tcPr>
          <w:p w14:paraId="7B6CCFB2">
            <w:pPr>
              <w:spacing w:line="360" w:lineRule="auto"/>
              <w:jc w:val="center"/>
            </w:pPr>
            <w:r>
              <w:rPr>
                <w:rFonts w:hint="eastAsia"/>
              </w:rPr>
              <w:t>6分</w:t>
            </w:r>
          </w:p>
        </w:tc>
      </w:tr>
      <w:tr w14:paraId="1208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916" w:type="dxa"/>
            <w:vMerge w:val="continue"/>
            <w:tcBorders/>
            <w:vAlign w:val="center"/>
          </w:tcPr>
          <w:p w14:paraId="1F406F48">
            <w:pPr>
              <w:widowControl/>
              <w:spacing w:line="360" w:lineRule="auto"/>
              <w:jc w:val="center"/>
              <w:rPr>
                <w:rFonts w:hint="eastAsia" w:ascii="宋体" w:hAnsi="宋体" w:cs="宋体"/>
                <w:spacing w:val="15"/>
                <w:kern w:val="0"/>
                <w:szCs w:val="21"/>
                <w:shd w:val="clear" w:color="auto" w:fill="FFFFFF"/>
              </w:rPr>
            </w:pPr>
          </w:p>
        </w:tc>
        <w:tc>
          <w:tcPr>
            <w:tcW w:w="1087" w:type="dxa"/>
            <w:vAlign w:val="center"/>
          </w:tcPr>
          <w:p w14:paraId="191E93C6">
            <w:pPr>
              <w:tabs>
                <w:tab w:val="decimal" w:pos="315"/>
                <w:tab w:val="left" w:pos="630"/>
              </w:tabs>
              <w:spacing w:line="276" w:lineRule="auto"/>
              <w:jc w:val="center"/>
              <w:rPr>
                <w:rFonts w:hint="eastAsia" w:ascii="宋体" w:hAnsi="宋体" w:cs="宋体"/>
                <w:color w:val="000000"/>
                <w:kern w:val="0"/>
                <w:sz w:val="24"/>
                <w:lang w:bidi="ar"/>
              </w:rPr>
            </w:pPr>
            <w:r>
              <w:rPr>
                <w:rFonts w:hint="eastAsia" w:ascii="宋体" w:hAnsi="宋体"/>
                <w:b/>
                <w:bCs/>
                <w:szCs w:val="21"/>
              </w:rPr>
              <w:t>项目实施方案</w:t>
            </w:r>
          </w:p>
        </w:tc>
        <w:tc>
          <w:tcPr>
            <w:tcW w:w="6443" w:type="dxa"/>
            <w:vAlign w:val="center"/>
          </w:tcPr>
          <w:p w14:paraId="0D444AA4">
            <w:pPr>
              <w:rPr>
                <w:rFonts w:hint="eastAsia" w:ascii="宋体" w:hAnsi="宋体" w:cs="宋体"/>
                <w:bCs/>
                <w:szCs w:val="21"/>
              </w:rPr>
            </w:pPr>
            <w:r>
              <w:rPr>
                <w:rFonts w:hint="eastAsia" w:ascii="宋体" w:hAnsi="宋体" w:cs="宋体"/>
                <w:bCs/>
                <w:szCs w:val="21"/>
              </w:rPr>
              <w:t>根据供应商提供的项目实施方案进行评审：</w:t>
            </w:r>
          </w:p>
          <w:p w14:paraId="7593C7F4">
            <w:pPr>
              <w:rPr>
                <w:rFonts w:hint="eastAsia" w:ascii="宋体" w:hAnsi="宋体" w:cs="宋体"/>
                <w:bCs/>
                <w:color w:val="auto"/>
                <w:szCs w:val="21"/>
              </w:rPr>
            </w:pPr>
            <w:r>
              <w:rPr>
                <w:rFonts w:hint="eastAsia" w:ascii="宋体" w:hAnsi="宋体" w:cs="宋体"/>
                <w:bCs/>
                <w:szCs w:val="21"/>
              </w:rPr>
              <w:t>1、有详细全面的项目实施方案，</w:t>
            </w:r>
            <w:r>
              <w:rPr>
                <w:rFonts w:hint="eastAsia" w:ascii="宋体" w:hAnsi="宋体" w:cs="宋体"/>
                <w:bCs/>
                <w:color w:val="auto"/>
                <w:szCs w:val="21"/>
              </w:rPr>
              <w:t>项目实施进度表时间清晰，</w:t>
            </w:r>
            <w:r>
              <w:rPr>
                <w:rFonts w:hint="eastAsia" w:ascii="宋体" w:hAnsi="宋体" w:cs="宋体"/>
                <w:bCs/>
                <w:color w:val="auto"/>
                <w:szCs w:val="21"/>
                <w:lang w:eastAsia="zh-CN"/>
              </w:rPr>
              <w:t>完全</w:t>
            </w:r>
            <w:r>
              <w:rPr>
                <w:rFonts w:hint="eastAsia" w:ascii="宋体" w:hAnsi="宋体" w:cs="宋体"/>
                <w:bCs/>
                <w:color w:val="auto"/>
                <w:szCs w:val="21"/>
              </w:rPr>
              <w:t>满足</w:t>
            </w:r>
            <w:r>
              <w:rPr>
                <w:rFonts w:hint="eastAsia" w:ascii="宋体" w:hAnsi="宋体" w:cs="宋体"/>
                <w:bCs/>
                <w:color w:val="auto"/>
                <w:szCs w:val="21"/>
                <w:lang w:eastAsia="zh-CN"/>
              </w:rPr>
              <w:t>或优于采购需求的</w:t>
            </w:r>
            <w:r>
              <w:rPr>
                <w:rFonts w:hint="eastAsia" w:ascii="宋体" w:hAnsi="宋体" w:cs="宋体"/>
                <w:bCs/>
                <w:color w:val="auto"/>
                <w:szCs w:val="21"/>
              </w:rPr>
              <w:t>，得16分；</w:t>
            </w:r>
          </w:p>
          <w:p w14:paraId="7413CB7B">
            <w:pPr>
              <w:rPr>
                <w:rFonts w:hint="eastAsia" w:ascii="宋体" w:hAnsi="宋体" w:cs="宋体"/>
                <w:bCs/>
                <w:szCs w:val="21"/>
              </w:rPr>
            </w:pPr>
            <w:r>
              <w:rPr>
                <w:rFonts w:hint="eastAsia" w:ascii="宋体" w:hAnsi="宋体" w:cs="宋体"/>
                <w:bCs/>
                <w:color w:val="auto"/>
                <w:szCs w:val="21"/>
              </w:rPr>
              <w:t>2、有较全面的项目实施方案，项目实施</w:t>
            </w:r>
            <w:r>
              <w:rPr>
                <w:rFonts w:hint="eastAsia" w:ascii="宋体" w:hAnsi="宋体" w:cs="宋体"/>
                <w:bCs/>
                <w:szCs w:val="21"/>
              </w:rPr>
              <w:t>进度表时间比较清晰，</w:t>
            </w:r>
            <w:r>
              <w:rPr>
                <w:rFonts w:hint="eastAsia" w:ascii="宋体" w:hAnsi="宋体" w:cs="宋体"/>
                <w:bCs/>
                <w:szCs w:val="21"/>
                <w:lang w:eastAsia="zh-CN"/>
              </w:rPr>
              <w:t>基本</w:t>
            </w:r>
            <w:r>
              <w:rPr>
                <w:rFonts w:hint="eastAsia" w:ascii="宋体" w:hAnsi="宋体" w:cs="宋体"/>
                <w:bCs/>
                <w:szCs w:val="21"/>
              </w:rPr>
              <w:t>满足</w:t>
            </w:r>
            <w:r>
              <w:rPr>
                <w:rFonts w:hint="eastAsia" w:ascii="宋体" w:hAnsi="宋体" w:cs="宋体"/>
                <w:bCs/>
                <w:szCs w:val="21"/>
                <w:lang w:eastAsia="zh-CN"/>
              </w:rPr>
              <w:t>采购需求的</w:t>
            </w:r>
            <w:r>
              <w:rPr>
                <w:rFonts w:hint="eastAsia" w:ascii="宋体" w:hAnsi="宋体" w:cs="宋体"/>
                <w:bCs/>
                <w:szCs w:val="21"/>
              </w:rPr>
              <w:t>，得10分；</w:t>
            </w:r>
          </w:p>
          <w:p w14:paraId="084B5414">
            <w:pPr>
              <w:rPr>
                <w:rFonts w:hint="eastAsia" w:ascii="宋体" w:hAnsi="宋体" w:cs="宋体"/>
                <w:bCs/>
                <w:szCs w:val="21"/>
              </w:rPr>
            </w:pPr>
            <w:r>
              <w:rPr>
                <w:rFonts w:hint="eastAsia" w:ascii="宋体" w:hAnsi="宋体" w:cs="宋体"/>
                <w:bCs/>
                <w:szCs w:val="21"/>
              </w:rPr>
              <w:t>3、项目实施方案不够全面合理，</w:t>
            </w:r>
            <w:r>
              <w:rPr>
                <w:rFonts w:hint="eastAsia" w:ascii="宋体" w:hAnsi="宋体" w:cs="宋体"/>
                <w:bCs/>
                <w:color w:val="auto"/>
                <w:szCs w:val="21"/>
              </w:rPr>
              <w:t>项目实施</w:t>
            </w:r>
            <w:r>
              <w:rPr>
                <w:rFonts w:hint="eastAsia" w:ascii="宋体" w:hAnsi="宋体" w:cs="宋体"/>
                <w:bCs/>
                <w:szCs w:val="21"/>
              </w:rPr>
              <w:t>进度表</w:t>
            </w:r>
            <w:r>
              <w:rPr>
                <w:rFonts w:hint="eastAsia" w:ascii="宋体" w:hAnsi="宋体" w:cs="宋体"/>
                <w:bCs/>
                <w:szCs w:val="21"/>
                <w:lang w:eastAsia="zh-CN"/>
              </w:rPr>
              <w:t>简略</w:t>
            </w:r>
            <w:r>
              <w:rPr>
                <w:rFonts w:hint="eastAsia" w:ascii="宋体" w:hAnsi="宋体" w:cs="宋体"/>
                <w:bCs/>
                <w:szCs w:val="21"/>
              </w:rPr>
              <w:t>，</w:t>
            </w:r>
            <w:r>
              <w:rPr>
                <w:rFonts w:hint="eastAsia" w:ascii="宋体" w:hAnsi="宋体" w:cs="宋体"/>
                <w:bCs/>
                <w:szCs w:val="21"/>
                <w:lang w:eastAsia="zh-CN"/>
              </w:rPr>
              <w:t>仅部分</w:t>
            </w:r>
            <w:r>
              <w:rPr>
                <w:rFonts w:hint="eastAsia" w:ascii="宋体" w:hAnsi="宋体" w:cs="宋体"/>
                <w:bCs/>
                <w:szCs w:val="21"/>
              </w:rPr>
              <w:t>满足</w:t>
            </w:r>
            <w:r>
              <w:rPr>
                <w:rFonts w:hint="eastAsia" w:ascii="宋体" w:hAnsi="宋体" w:cs="宋体"/>
                <w:bCs/>
                <w:szCs w:val="21"/>
                <w:lang w:eastAsia="zh-CN"/>
              </w:rPr>
              <w:t>采购需求</w:t>
            </w:r>
            <w:r>
              <w:rPr>
                <w:rFonts w:hint="eastAsia" w:ascii="宋体" w:hAnsi="宋体" w:cs="宋体"/>
                <w:bCs/>
                <w:szCs w:val="21"/>
              </w:rPr>
              <w:t>的，得5分；</w:t>
            </w:r>
          </w:p>
          <w:p w14:paraId="53241534">
            <w:pPr>
              <w:rPr>
                <w:rFonts w:hint="eastAsia" w:ascii="宋体" w:hAnsi="宋体" w:cs="宋体"/>
                <w:bCs/>
                <w:szCs w:val="21"/>
              </w:rPr>
            </w:pPr>
            <w:r>
              <w:rPr>
                <w:rFonts w:hint="eastAsia" w:ascii="宋体" w:hAnsi="宋体" w:cs="宋体"/>
                <w:bCs/>
                <w:szCs w:val="21"/>
              </w:rPr>
              <w:t>4、其他或未提供项目实施方案不得分。</w:t>
            </w:r>
          </w:p>
        </w:tc>
        <w:tc>
          <w:tcPr>
            <w:tcW w:w="809" w:type="dxa"/>
            <w:vAlign w:val="center"/>
          </w:tcPr>
          <w:p w14:paraId="634B2FBA">
            <w:pPr>
              <w:spacing w:line="360" w:lineRule="auto"/>
              <w:jc w:val="center"/>
            </w:pPr>
            <w:r>
              <w:rPr>
                <w:rFonts w:hint="eastAsia"/>
              </w:rPr>
              <w:t>16分</w:t>
            </w:r>
          </w:p>
        </w:tc>
      </w:tr>
      <w:tr w14:paraId="045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tcBorders/>
            <w:vAlign w:val="center"/>
          </w:tcPr>
          <w:p w14:paraId="4C22D8F4">
            <w:pPr>
              <w:widowControl/>
              <w:spacing w:line="360" w:lineRule="auto"/>
              <w:jc w:val="center"/>
              <w:rPr>
                <w:rFonts w:hint="eastAsia" w:ascii="宋体" w:hAnsi="宋体" w:cs="宋体"/>
                <w:spacing w:val="15"/>
                <w:kern w:val="0"/>
                <w:szCs w:val="21"/>
                <w:shd w:val="clear" w:color="auto" w:fill="FFFFFF"/>
              </w:rPr>
            </w:pPr>
          </w:p>
        </w:tc>
        <w:tc>
          <w:tcPr>
            <w:tcW w:w="1087" w:type="dxa"/>
            <w:vAlign w:val="center"/>
          </w:tcPr>
          <w:p w14:paraId="3005266E">
            <w:pPr>
              <w:jc w:val="center"/>
              <w:rPr>
                <w:rFonts w:hint="eastAsia" w:ascii="宋体" w:hAnsi="宋体"/>
                <w:szCs w:val="21"/>
              </w:rPr>
            </w:pPr>
            <w:r>
              <w:rPr>
                <w:rFonts w:hint="eastAsia" w:ascii="宋体" w:hAnsi="宋体"/>
                <w:b/>
                <w:bCs/>
                <w:szCs w:val="21"/>
              </w:rPr>
              <w:t>售后服务方案</w:t>
            </w:r>
          </w:p>
        </w:tc>
        <w:tc>
          <w:tcPr>
            <w:tcW w:w="6443" w:type="dxa"/>
            <w:vAlign w:val="center"/>
          </w:tcPr>
          <w:p w14:paraId="5F0EFE25">
            <w:pPr>
              <w:rPr>
                <w:rFonts w:hint="eastAsia" w:ascii="宋体" w:hAnsi="宋体" w:cs="宋体"/>
                <w:bCs/>
                <w:szCs w:val="21"/>
              </w:rPr>
            </w:pPr>
            <w:r>
              <w:rPr>
                <w:rFonts w:hint="eastAsia" w:ascii="宋体" w:hAnsi="宋体" w:cs="宋体"/>
                <w:bCs/>
                <w:szCs w:val="21"/>
              </w:rPr>
              <w:t>根据供应商提供的售后服务方案进行评审：</w:t>
            </w:r>
          </w:p>
          <w:p w14:paraId="0053DE71">
            <w:pPr>
              <w:rPr>
                <w:rFonts w:hint="eastAsia" w:ascii="宋体" w:hAnsi="宋体" w:cs="宋体"/>
                <w:bCs/>
                <w:szCs w:val="21"/>
              </w:rPr>
            </w:pPr>
            <w:r>
              <w:rPr>
                <w:rFonts w:hint="eastAsia" w:ascii="宋体" w:hAnsi="宋体" w:cs="宋体"/>
                <w:bCs/>
                <w:szCs w:val="21"/>
              </w:rPr>
              <w:t>1、售后服务方案及运维服务方案完全满足或优于本项目需求，售后服务方案、资源配置科学可行，有有效的保证措施及技术支持，响应时间满足或优于需求，得 15分；</w:t>
            </w:r>
          </w:p>
          <w:p w14:paraId="11364261">
            <w:pPr>
              <w:rPr>
                <w:rFonts w:hint="eastAsia" w:ascii="宋体" w:hAnsi="宋体" w:cs="宋体"/>
                <w:bCs/>
                <w:szCs w:val="21"/>
              </w:rPr>
            </w:pPr>
            <w:r>
              <w:rPr>
                <w:rFonts w:hint="eastAsia" w:ascii="宋体" w:hAnsi="宋体" w:cs="宋体"/>
                <w:bCs/>
                <w:szCs w:val="21"/>
              </w:rPr>
              <w:t>2、售后服务方案及运维服务方案基本满足本项目需求，售后服务方案、资源配置较科学可行，有较有效的保证措施及技术支持，响应时间满足需求，得10分；</w:t>
            </w:r>
          </w:p>
          <w:p w14:paraId="34EC98A5">
            <w:pPr>
              <w:rPr>
                <w:rFonts w:hint="eastAsia" w:ascii="宋体" w:hAnsi="宋体" w:cs="宋体"/>
                <w:bCs/>
                <w:szCs w:val="21"/>
              </w:rPr>
            </w:pPr>
            <w:r>
              <w:rPr>
                <w:rFonts w:hint="eastAsia" w:ascii="宋体" w:hAnsi="宋体" w:cs="宋体"/>
                <w:bCs/>
                <w:szCs w:val="21"/>
              </w:rPr>
              <w:t>3、售后服务方案及运维服务方案部分满足本项目服务内容，售后服务方案、资源配置一般，保证措施及技术支持一般，响应时间满足部分需求，得5分；</w:t>
            </w:r>
          </w:p>
          <w:p w14:paraId="37C135D5">
            <w:pPr>
              <w:rPr>
                <w:rFonts w:hint="eastAsia" w:ascii="宋体" w:hAnsi="宋体" w:cs="宋体"/>
                <w:bCs/>
                <w:szCs w:val="21"/>
              </w:rPr>
            </w:pPr>
            <w:r>
              <w:rPr>
                <w:rFonts w:hint="eastAsia" w:ascii="宋体" w:hAnsi="宋体" w:cs="宋体"/>
                <w:bCs/>
                <w:szCs w:val="21"/>
              </w:rPr>
              <w:t>4、其他或未提供售后服务方案不得分。</w:t>
            </w:r>
          </w:p>
        </w:tc>
        <w:tc>
          <w:tcPr>
            <w:tcW w:w="809" w:type="dxa"/>
            <w:vAlign w:val="center"/>
          </w:tcPr>
          <w:p w14:paraId="39A66C84">
            <w:pPr>
              <w:spacing w:line="360" w:lineRule="auto"/>
              <w:jc w:val="center"/>
            </w:pPr>
            <w:r>
              <w:rPr>
                <w:rFonts w:hint="eastAsia"/>
              </w:rPr>
              <w:t>15分</w:t>
            </w:r>
          </w:p>
        </w:tc>
      </w:tr>
      <w:tr w14:paraId="28F6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6" w:type="dxa"/>
            <w:vAlign w:val="center"/>
          </w:tcPr>
          <w:p w14:paraId="40E8BBA6">
            <w:pPr>
              <w:widowControl/>
              <w:spacing w:line="360" w:lineRule="auto"/>
              <w:jc w:val="center"/>
              <w:rPr>
                <w:rFonts w:hint="eastAsia" w:ascii="宋体" w:hAnsi="宋体" w:cs="宋体"/>
                <w:spacing w:val="15"/>
                <w:kern w:val="0"/>
                <w:szCs w:val="21"/>
                <w:shd w:val="clear" w:color="auto" w:fill="FFFFFF"/>
              </w:rPr>
            </w:pPr>
            <w:r>
              <w:rPr>
                <w:rFonts w:hint="eastAsia" w:ascii="宋体" w:hAnsi="宋体" w:cs="宋体"/>
                <w:b/>
                <w:bCs/>
                <w:spacing w:val="15"/>
                <w:kern w:val="0"/>
                <w:szCs w:val="21"/>
                <w:shd w:val="clear" w:color="auto" w:fill="FFFFFF"/>
              </w:rPr>
              <w:t>价格部分</w:t>
            </w:r>
          </w:p>
        </w:tc>
        <w:tc>
          <w:tcPr>
            <w:tcW w:w="1087" w:type="dxa"/>
            <w:vAlign w:val="center"/>
          </w:tcPr>
          <w:p w14:paraId="4E2DD59B">
            <w:pPr>
              <w:jc w:val="center"/>
              <w:rPr>
                <w:szCs w:val="21"/>
              </w:rPr>
            </w:pPr>
            <w:r>
              <w:rPr>
                <w:rFonts w:hint="eastAsia" w:ascii="宋体" w:hAnsi="宋体" w:cs="宋体"/>
                <w:b/>
                <w:bCs/>
                <w:szCs w:val="21"/>
              </w:rPr>
              <w:t>响应报价</w:t>
            </w:r>
          </w:p>
        </w:tc>
        <w:tc>
          <w:tcPr>
            <w:tcW w:w="6443" w:type="dxa"/>
          </w:tcPr>
          <w:p w14:paraId="69C3C0A1">
            <w:pPr>
              <w:pStyle w:val="15"/>
              <w:widowControl/>
              <w:spacing w:line="216" w:lineRule="auto"/>
              <w:ind w:firstLine="0" w:firstLineChars="0"/>
              <w:rPr>
                <w:rFonts w:hint="eastAsia" w:ascii="宋体" w:eastAsia="宋体" w:cs="宋体"/>
                <w:bCs/>
                <w:sz w:val="21"/>
                <w:szCs w:val="21"/>
                <w:lang w:val="zh-CN"/>
              </w:rPr>
            </w:pPr>
            <w:r>
              <w:rPr>
                <w:rFonts w:hint="eastAsia" w:ascii="宋体" w:eastAsia="宋体" w:cs="宋体"/>
                <w:bCs/>
                <w:sz w:val="21"/>
                <w:szCs w:val="21"/>
                <w:lang w:val="zh-CN"/>
              </w:rPr>
              <w:t>响应报价得分＝（评审基准价/响应报价）×价格分值</w:t>
            </w:r>
          </w:p>
          <w:p w14:paraId="7E481398">
            <w:pPr>
              <w:pStyle w:val="15"/>
              <w:widowControl/>
              <w:spacing w:line="216" w:lineRule="auto"/>
              <w:ind w:firstLine="0" w:firstLineChars="0"/>
              <w:rPr>
                <w:rFonts w:hint="eastAsia" w:ascii="宋体" w:eastAsia="宋体" w:cs="宋体"/>
                <w:bCs/>
                <w:sz w:val="21"/>
                <w:szCs w:val="21"/>
              </w:rPr>
            </w:pPr>
            <w:r>
              <w:rPr>
                <w:rFonts w:hint="eastAsia" w:ascii="宋体" w:eastAsia="宋体" w:cs="宋体"/>
                <w:bCs/>
                <w:sz w:val="21"/>
                <w:szCs w:val="21"/>
                <w:lang w:val="zh-CN"/>
              </w:rPr>
              <w:t>（注：满足采购文件要求且响应价格最低的响应报价为评审基准价。最低报价不是成交的唯一依据。）</w:t>
            </w:r>
          </w:p>
        </w:tc>
        <w:tc>
          <w:tcPr>
            <w:tcW w:w="809" w:type="dxa"/>
            <w:vAlign w:val="center"/>
          </w:tcPr>
          <w:p w14:paraId="3F89DC7B">
            <w:pPr>
              <w:spacing w:line="360" w:lineRule="auto"/>
              <w:jc w:val="center"/>
              <w:rPr>
                <w:rFonts w:hint="eastAsia" w:ascii="宋体" w:hAnsi="宋体" w:cs="宋体"/>
                <w:szCs w:val="21"/>
              </w:rPr>
            </w:pPr>
            <w:r>
              <w:rPr>
                <w:rFonts w:hint="eastAsia" w:ascii="宋体" w:hAnsi="宋体" w:cs="宋体"/>
                <w:szCs w:val="21"/>
              </w:rPr>
              <w:t>20分</w:t>
            </w:r>
          </w:p>
        </w:tc>
      </w:tr>
      <w:tr w14:paraId="7A2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6" w:type="dxa"/>
            <w:gridSpan w:val="3"/>
            <w:vAlign w:val="center"/>
          </w:tcPr>
          <w:p w14:paraId="2B18D249">
            <w:pPr>
              <w:spacing w:line="360" w:lineRule="auto"/>
              <w:jc w:val="center"/>
              <w:rPr>
                <w:rFonts w:hint="eastAsia" w:ascii="宋体" w:hAnsi="宋体"/>
                <w:szCs w:val="21"/>
              </w:rPr>
            </w:pPr>
            <w:r>
              <w:rPr>
                <w:rFonts w:hint="eastAsia" w:ascii="宋体" w:hAnsi="宋体"/>
                <w:szCs w:val="21"/>
              </w:rPr>
              <w:t>合计</w:t>
            </w:r>
          </w:p>
        </w:tc>
        <w:tc>
          <w:tcPr>
            <w:tcW w:w="809" w:type="dxa"/>
            <w:vAlign w:val="center"/>
          </w:tcPr>
          <w:p w14:paraId="6224EE61">
            <w:pPr>
              <w:spacing w:line="360" w:lineRule="auto"/>
              <w:jc w:val="center"/>
              <w:rPr>
                <w:rFonts w:hint="eastAsia" w:ascii="宋体" w:hAnsi="宋体"/>
              </w:rPr>
            </w:pPr>
            <w:r>
              <w:rPr>
                <w:rFonts w:hint="eastAsia"/>
              </w:rPr>
              <w:t>100</w:t>
            </w:r>
            <w:r>
              <w:rPr>
                <w:rFonts w:hint="eastAsia" w:ascii="宋体" w:hAnsi="宋体"/>
              </w:rPr>
              <w:t>分</w:t>
            </w:r>
          </w:p>
        </w:tc>
      </w:tr>
      <w:bookmarkEnd w:id="0"/>
    </w:tbl>
    <w:p w14:paraId="02C9E0C9">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9F4ED"/>
    <w:multiLevelType w:val="singleLevel"/>
    <w:tmpl w:val="1709F4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EA5C2E"/>
    <w:rsid w:val="00280D3D"/>
    <w:rsid w:val="004F7D60"/>
    <w:rsid w:val="005A2D64"/>
    <w:rsid w:val="00726F79"/>
    <w:rsid w:val="00856F81"/>
    <w:rsid w:val="00A8354F"/>
    <w:rsid w:val="00DF0D5C"/>
    <w:rsid w:val="00E46AD2"/>
    <w:rsid w:val="00E51266"/>
    <w:rsid w:val="00EA5C2E"/>
    <w:rsid w:val="00EB1C0E"/>
    <w:rsid w:val="00F33A6C"/>
    <w:rsid w:val="0116312F"/>
    <w:rsid w:val="022632F0"/>
    <w:rsid w:val="0239040F"/>
    <w:rsid w:val="03267819"/>
    <w:rsid w:val="045D1075"/>
    <w:rsid w:val="058F1F56"/>
    <w:rsid w:val="05BD6377"/>
    <w:rsid w:val="06E72E78"/>
    <w:rsid w:val="077B0190"/>
    <w:rsid w:val="07AB423D"/>
    <w:rsid w:val="07F53FC7"/>
    <w:rsid w:val="085C484A"/>
    <w:rsid w:val="08917754"/>
    <w:rsid w:val="08CD207F"/>
    <w:rsid w:val="09570229"/>
    <w:rsid w:val="09C74DB0"/>
    <w:rsid w:val="09CF031F"/>
    <w:rsid w:val="0A3E104C"/>
    <w:rsid w:val="0A621193"/>
    <w:rsid w:val="0AA35A8D"/>
    <w:rsid w:val="0AC27E84"/>
    <w:rsid w:val="0ADF6709"/>
    <w:rsid w:val="0B031FF8"/>
    <w:rsid w:val="0B2A7D51"/>
    <w:rsid w:val="0B330D82"/>
    <w:rsid w:val="0B5252E0"/>
    <w:rsid w:val="0B5915B2"/>
    <w:rsid w:val="0B7A631C"/>
    <w:rsid w:val="0BF63EFD"/>
    <w:rsid w:val="0C344DB1"/>
    <w:rsid w:val="0C871385"/>
    <w:rsid w:val="0C8F77BA"/>
    <w:rsid w:val="0CEA79AB"/>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4FC289A"/>
    <w:rsid w:val="15396F94"/>
    <w:rsid w:val="15E60350"/>
    <w:rsid w:val="16012AC5"/>
    <w:rsid w:val="161E4477"/>
    <w:rsid w:val="16AA0397"/>
    <w:rsid w:val="16B167CC"/>
    <w:rsid w:val="170610F8"/>
    <w:rsid w:val="17070B85"/>
    <w:rsid w:val="172211AC"/>
    <w:rsid w:val="17476440"/>
    <w:rsid w:val="177949B5"/>
    <w:rsid w:val="18664ECD"/>
    <w:rsid w:val="195A5D0E"/>
    <w:rsid w:val="198164B4"/>
    <w:rsid w:val="198264C7"/>
    <w:rsid w:val="19A02B67"/>
    <w:rsid w:val="1A710F7F"/>
    <w:rsid w:val="1CA90EA4"/>
    <w:rsid w:val="1CB17D58"/>
    <w:rsid w:val="1CEB5018"/>
    <w:rsid w:val="1D090252"/>
    <w:rsid w:val="1D4F1A4B"/>
    <w:rsid w:val="1E023D5F"/>
    <w:rsid w:val="1F172074"/>
    <w:rsid w:val="2000702C"/>
    <w:rsid w:val="20531559"/>
    <w:rsid w:val="20E47C7B"/>
    <w:rsid w:val="21251678"/>
    <w:rsid w:val="21507B40"/>
    <w:rsid w:val="21636166"/>
    <w:rsid w:val="2182320C"/>
    <w:rsid w:val="21B73ED8"/>
    <w:rsid w:val="22291947"/>
    <w:rsid w:val="22596E88"/>
    <w:rsid w:val="22F524FB"/>
    <w:rsid w:val="230B0532"/>
    <w:rsid w:val="2323226F"/>
    <w:rsid w:val="23234A89"/>
    <w:rsid w:val="232522DA"/>
    <w:rsid w:val="23256C77"/>
    <w:rsid w:val="23955CDE"/>
    <w:rsid w:val="23E83B9F"/>
    <w:rsid w:val="24406F1A"/>
    <w:rsid w:val="24791DF7"/>
    <w:rsid w:val="25A11649"/>
    <w:rsid w:val="25A8494F"/>
    <w:rsid w:val="25CD5C03"/>
    <w:rsid w:val="269009DE"/>
    <w:rsid w:val="26B14D2A"/>
    <w:rsid w:val="26DC1BC2"/>
    <w:rsid w:val="27B91B08"/>
    <w:rsid w:val="27EA6359"/>
    <w:rsid w:val="28E65204"/>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915AF"/>
    <w:rsid w:val="304C1E1A"/>
    <w:rsid w:val="30D140CD"/>
    <w:rsid w:val="30E93FBE"/>
    <w:rsid w:val="31BC4D7D"/>
    <w:rsid w:val="32B85545"/>
    <w:rsid w:val="32FC4A8D"/>
    <w:rsid w:val="32FC6616"/>
    <w:rsid w:val="330557AD"/>
    <w:rsid w:val="33A672FD"/>
    <w:rsid w:val="33AC5A63"/>
    <w:rsid w:val="34403A44"/>
    <w:rsid w:val="346534DC"/>
    <w:rsid w:val="347E456C"/>
    <w:rsid w:val="352761F5"/>
    <w:rsid w:val="35EA1EB9"/>
    <w:rsid w:val="3612225C"/>
    <w:rsid w:val="363A2F9F"/>
    <w:rsid w:val="364D069A"/>
    <w:rsid w:val="366C21D2"/>
    <w:rsid w:val="36CD5A73"/>
    <w:rsid w:val="37AD6244"/>
    <w:rsid w:val="37C568B0"/>
    <w:rsid w:val="380A3FE7"/>
    <w:rsid w:val="381454F7"/>
    <w:rsid w:val="38370059"/>
    <w:rsid w:val="391159AF"/>
    <w:rsid w:val="3A1A6AE5"/>
    <w:rsid w:val="3A2636DC"/>
    <w:rsid w:val="3ABB3E24"/>
    <w:rsid w:val="3B3140E6"/>
    <w:rsid w:val="3BC136BC"/>
    <w:rsid w:val="3BDE4E43"/>
    <w:rsid w:val="3C2E0CC5"/>
    <w:rsid w:val="3CE33BBF"/>
    <w:rsid w:val="3DB2047D"/>
    <w:rsid w:val="3E141CB2"/>
    <w:rsid w:val="3E570EC6"/>
    <w:rsid w:val="3F283A52"/>
    <w:rsid w:val="3F6D1374"/>
    <w:rsid w:val="3FE14D80"/>
    <w:rsid w:val="4024246B"/>
    <w:rsid w:val="40607ABC"/>
    <w:rsid w:val="40640ABA"/>
    <w:rsid w:val="413A60AB"/>
    <w:rsid w:val="43B74B4E"/>
    <w:rsid w:val="43C8770C"/>
    <w:rsid w:val="45AC718B"/>
    <w:rsid w:val="45ED50AE"/>
    <w:rsid w:val="45F95539"/>
    <w:rsid w:val="469E110E"/>
    <w:rsid w:val="479C6D8B"/>
    <w:rsid w:val="48364026"/>
    <w:rsid w:val="488241D3"/>
    <w:rsid w:val="48C42A3E"/>
    <w:rsid w:val="49D62A28"/>
    <w:rsid w:val="4A9C1907"/>
    <w:rsid w:val="4AF10A80"/>
    <w:rsid w:val="4AF97CB6"/>
    <w:rsid w:val="4B56577F"/>
    <w:rsid w:val="4B6C4CC7"/>
    <w:rsid w:val="4BCB40E3"/>
    <w:rsid w:val="4BE5617B"/>
    <w:rsid w:val="4C12586E"/>
    <w:rsid w:val="4CA330E7"/>
    <w:rsid w:val="4CB07713"/>
    <w:rsid w:val="4CCD0706"/>
    <w:rsid w:val="4CF5766A"/>
    <w:rsid w:val="4CF87DD7"/>
    <w:rsid w:val="4DE84AD8"/>
    <w:rsid w:val="4E70527E"/>
    <w:rsid w:val="4E9B4F76"/>
    <w:rsid w:val="4EA10947"/>
    <w:rsid w:val="4F700B2E"/>
    <w:rsid w:val="51120D76"/>
    <w:rsid w:val="51D10F25"/>
    <w:rsid w:val="526206FA"/>
    <w:rsid w:val="528E29ED"/>
    <w:rsid w:val="52901F11"/>
    <w:rsid w:val="529B480F"/>
    <w:rsid w:val="52F83F51"/>
    <w:rsid w:val="530C74BB"/>
    <w:rsid w:val="53121B8E"/>
    <w:rsid w:val="53C47D96"/>
    <w:rsid w:val="54B013B2"/>
    <w:rsid w:val="54B6171E"/>
    <w:rsid w:val="55706356"/>
    <w:rsid w:val="55D30AF4"/>
    <w:rsid w:val="565F4ABA"/>
    <w:rsid w:val="568961D0"/>
    <w:rsid w:val="56CD5E9D"/>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B31D07"/>
    <w:rsid w:val="5EC23ABB"/>
    <w:rsid w:val="5ECC67C9"/>
    <w:rsid w:val="5F075202"/>
    <w:rsid w:val="5F50274C"/>
    <w:rsid w:val="5F571ABE"/>
    <w:rsid w:val="5F832CD6"/>
    <w:rsid w:val="5FA31F5D"/>
    <w:rsid w:val="5FF852C4"/>
    <w:rsid w:val="608D6F8C"/>
    <w:rsid w:val="60A54AAB"/>
    <w:rsid w:val="60B06A3A"/>
    <w:rsid w:val="60C8402D"/>
    <w:rsid w:val="616C4593"/>
    <w:rsid w:val="62031A89"/>
    <w:rsid w:val="62061579"/>
    <w:rsid w:val="621C6FEF"/>
    <w:rsid w:val="62E775FD"/>
    <w:rsid w:val="62EA49F7"/>
    <w:rsid w:val="633B400F"/>
    <w:rsid w:val="634001E3"/>
    <w:rsid w:val="63634DBE"/>
    <w:rsid w:val="645962D8"/>
    <w:rsid w:val="64942E0C"/>
    <w:rsid w:val="652E373F"/>
    <w:rsid w:val="65683BA3"/>
    <w:rsid w:val="65D900EA"/>
    <w:rsid w:val="66A90E26"/>
    <w:rsid w:val="68332C5A"/>
    <w:rsid w:val="690B6A33"/>
    <w:rsid w:val="6ADF1456"/>
    <w:rsid w:val="6B0F149F"/>
    <w:rsid w:val="6B1D49E9"/>
    <w:rsid w:val="6C663340"/>
    <w:rsid w:val="6CCA5F8C"/>
    <w:rsid w:val="6D5D0BE7"/>
    <w:rsid w:val="6D61071B"/>
    <w:rsid w:val="6D9863E0"/>
    <w:rsid w:val="6E42305D"/>
    <w:rsid w:val="6E5E6C17"/>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87D81"/>
    <w:rsid w:val="72CD743C"/>
    <w:rsid w:val="735A02FF"/>
    <w:rsid w:val="73644F94"/>
    <w:rsid w:val="739E1612"/>
    <w:rsid w:val="7405767A"/>
    <w:rsid w:val="74277170"/>
    <w:rsid w:val="74F160B9"/>
    <w:rsid w:val="759251A6"/>
    <w:rsid w:val="76790114"/>
    <w:rsid w:val="767A253F"/>
    <w:rsid w:val="76E23F0B"/>
    <w:rsid w:val="77D2097C"/>
    <w:rsid w:val="78281DF2"/>
    <w:rsid w:val="785C061A"/>
    <w:rsid w:val="78743289"/>
    <w:rsid w:val="79060450"/>
    <w:rsid w:val="7932248D"/>
    <w:rsid w:val="79366790"/>
    <w:rsid w:val="795D7670"/>
    <w:rsid w:val="79E077E8"/>
    <w:rsid w:val="7A416DDF"/>
    <w:rsid w:val="7A6D7F90"/>
    <w:rsid w:val="7A97325F"/>
    <w:rsid w:val="7B086CAC"/>
    <w:rsid w:val="7BBC35D3"/>
    <w:rsid w:val="7C023E77"/>
    <w:rsid w:val="7C232FFC"/>
    <w:rsid w:val="7C8415C1"/>
    <w:rsid w:val="7DDD71DA"/>
    <w:rsid w:val="7E114FDF"/>
    <w:rsid w:val="7E171E3C"/>
    <w:rsid w:val="7E3E26F6"/>
    <w:rsid w:val="7F51685D"/>
    <w:rsid w:val="7F8C2C66"/>
    <w:rsid w:val="7F945FBF"/>
    <w:rsid w:val="7FAE00C1"/>
    <w:rsid w:val="FED6F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40"/>
      </w:tabs>
      <w:adjustRightInd w:val="0"/>
      <w:snapToGrid w:val="0"/>
      <w:spacing w:line="360" w:lineRule="auto"/>
      <w:outlineLvl w:val="0"/>
    </w:pPr>
    <w:rPr>
      <w:rFonts w:ascii="宋体" w:hAnsi="宋体"/>
      <w:b/>
      <w:kern w:val="44"/>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rPr>
  </w:style>
  <w:style w:type="paragraph" w:styleId="4">
    <w:name w:val="table of authorities"/>
    <w:basedOn w:val="1"/>
    <w:next w:val="1"/>
    <w:qFormat/>
    <w:uiPriority w:val="99"/>
    <w:pPr>
      <w:ind w:left="420" w:leftChars="200"/>
    </w:pPr>
  </w:style>
  <w:style w:type="paragraph" w:styleId="5">
    <w:name w:val="Normal Indent"/>
    <w:basedOn w:val="1"/>
    <w:qFormat/>
    <w:uiPriority w:val="0"/>
    <w:pPr>
      <w:ind w:firstLine="420"/>
    </w:pPr>
  </w:style>
  <w:style w:type="paragraph" w:styleId="6">
    <w:name w:val="annotation text"/>
    <w:basedOn w:val="1"/>
    <w:qFormat/>
    <w:uiPriority w:val="99"/>
  </w:style>
  <w:style w:type="paragraph" w:styleId="7">
    <w:name w:val="toc 5"/>
    <w:basedOn w:val="1"/>
    <w:next w:val="1"/>
    <w:qFormat/>
    <w:uiPriority w:val="0"/>
    <w:pPr>
      <w:ind w:left="840"/>
      <w:jc w:val="left"/>
    </w:pPr>
    <w:rPr>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正文内容"/>
    <w:basedOn w:val="13"/>
    <w:qFormat/>
    <w:uiPriority w:val="0"/>
    <w:pPr>
      <w:widowControl w:val="0"/>
      <w:tabs>
        <w:tab w:val="decimal" w:pos="315"/>
        <w:tab w:val="left" w:pos="630"/>
      </w:tabs>
      <w:spacing w:beforeLines="50" w:beforeAutospacing="0" w:afterLines="50" w:afterAutospacing="0" w:line="360" w:lineRule="auto"/>
      <w:ind w:firstLine="480" w:firstLineChars="200"/>
      <w:jc w:val="both"/>
    </w:pPr>
    <w:rPr>
      <w:rFonts w:ascii="Times New Roman" w:hAnsi="Times New Roman" w:cs="Times New Roman"/>
      <w:b w:val="0"/>
      <w:bCs w:val="0"/>
      <w:sz w:val="24"/>
      <w:szCs w:val="20"/>
    </w:rPr>
  </w:style>
  <w:style w:type="paragraph" w:customStyle="1" w:styleId="13">
    <w:name w:val="xl1789"/>
    <w:basedOn w:val="1"/>
    <w:qFormat/>
    <w:uiPriority w:val="0"/>
    <w:pPr>
      <w:widowControl/>
      <w:tabs>
        <w:tab w:val="decimal" w:pos="315"/>
        <w:tab w:val="left" w:pos="630"/>
      </w:tabs>
      <w:spacing w:before="100" w:beforeAutospacing="1" w:after="100" w:afterAutospacing="1"/>
      <w:jc w:val="center"/>
    </w:pPr>
    <w:rPr>
      <w:rFonts w:ascii="宋体" w:hAnsi="宋体" w:cs="宋体"/>
      <w:b/>
      <w:bCs/>
      <w:kern w:val="0"/>
      <w:sz w:val="36"/>
      <w:szCs w:val="36"/>
    </w:rPr>
  </w:style>
  <w:style w:type="paragraph" w:customStyle="1" w:styleId="14">
    <w:name w:val="表格文字"/>
    <w:basedOn w:val="1"/>
    <w:qFormat/>
    <w:uiPriority w:val="0"/>
    <w:pPr>
      <w:spacing w:before="25" w:after="25"/>
      <w:jc w:val="left"/>
    </w:pPr>
    <w:rPr>
      <w:bCs/>
      <w:spacing w:val="10"/>
      <w:kern w:val="0"/>
      <w:sz w:val="24"/>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2018</Words>
  <Characters>2044</Characters>
  <Lines>57</Lines>
  <Paragraphs>47</Paragraphs>
  <TotalTime>15</TotalTime>
  <ScaleCrop>false</ScaleCrop>
  <LinksUpToDate>false</LinksUpToDate>
  <CharactersWithSpaces>2072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乌龙茶</cp:lastModifiedBy>
  <dcterms:modified xsi:type="dcterms:W3CDTF">2025-07-23T14:34:19Z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B455866538994BE8B848823DB15B8BD5_13</vt:lpwstr>
  </property>
  <property fmtid="{D5CDD505-2E9C-101B-9397-08002B2CF9AE}" pid="4" name="KSOTemplateDocerSaveRecord">
    <vt:lpwstr>eyJoZGlkIjoiY2YxNTJiOTNhZjAwNGZmNTNhNmJmZmZlYmY3YTYyNDEiLCJ1c2VySWQiOiIxNzE4ODc4In0=</vt:lpwstr>
  </property>
</Properties>
</file>